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jc w:val="center"/>
      </w:pPr>
      <w:r>
        <w:rPr>
          <w:rFonts w:ascii="Arial" w:hAnsi="Arial"/>
          <w:b/>
          <w:color w:val="76213D"/>
          <w:sz w:val="20"/>
        </w:rPr>
        <w:t>AMAAR GROUP</w:t>
      </w:r>
    </w:p>
    <w:p>
      <w:pPr>
        <w:spacing w:before="0" w:after="20" w:line="240" w:lineRule="auto"/>
        <w:jc w:val="center"/>
      </w:pPr>
      <w:r>
        <w:rPr>
          <w:rFonts w:ascii="Arial" w:hAnsi="Arial"/>
          <w:b/>
          <w:color w:val="2D2D2D"/>
          <w:sz w:val="32"/>
        </w:rPr>
        <w:t>WHISTLEBLOWER &amp; WITNESS PROTECTION POLICY</w:t>
      </w:r>
    </w:p>
    <w:p>
      <w:pPr>
        <w:spacing w:before="0" w:after="120" w:line="240" w:lineRule="auto"/>
        <w:jc w:val="center"/>
      </w:pPr>
      <w:r>
        <w:rPr>
          <w:rFonts w:ascii="Arial" w:hAnsi="Arial"/>
          <w:b/>
          <w:color w:val="76213D"/>
          <w:sz w:val="19"/>
        </w:rPr>
        <w:t>PUBLIC SUMMARY</w:t>
      </w:r>
    </w:p>
    <w:tbl>
      <w:tblPr>
        <w:tblW w:type="auto" w:w="0"/>
        <w:jc w:val="center"/>
        <w:tblLayout w:type="autofit"/>
        <w:tblLook w:firstColumn="1" w:firstRow="1" w:lastColumn="0" w:lastRow="0" w:noHBand="0" w:noVBand="1" w:val="04A0"/>
      </w:tblPr>
      <w:tblGrid>
        <w:gridCol w:w="10224"/>
      </w:tblGrid>
      <w:tr>
        <w:tc>
          <w:tcPr>
            <w:tcW w:type="dxa" w:w="10224"/>
            <w:shd w:fill="F5F1F3"/>
            <w:tcMar>
              <w:top w:w="80" w:type="dxa"/>
              <w:start w:w="100" w:type="dxa"/>
              <w:bottom w:w="80" w:type="dxa"/>
              <w:end w:w="100" w:type="dxa"/>
            </w:tcMar>
            <w:tcBorders>
              <w:top w:val="single" w:sz="8" w:color="76213D"/>
              <w:left w:val="single" w:sz="8" w:color="76213D"/>
              <w:bottom w:val="single" w:sz="8" w:color="76213D"/>
              <w:right w:val="single" w:sz="8" w:color="76213D"/>
            </w:tcBorders>
          </w:tcPr>
          <w:p>
            <w:pPr>
              <w:spacing w:before="0" w:after="0" w:line="240" w:lineRule="auto"/>
            </w:pPr>
            <w:r>
              <w:rPr>
                <w:rFonts w:ascii="Arial" w:hAnsi="Arial"/>
                <w:b/>
                <w:color w:val="76213D"/>
                <w:sz w:val="19"/>
              </w:rPr>
              <w:t xml:space="preserve">Our commitment. </w:t>
            </w:r>
            <w:r>
              <w:rPr>
                <w:rFonts w:ascii="Arial" w:hAnsi="Arial"/>
                <w:b w:val="0"/>
                <w:color w:val="2D2D2D"/>
                <w:sz w:val="19"/>
              </w:rPr>
              <w:t>Amaar Group is committed to maintaining high standards of integrity and to enabling suspected wrongdoing to be reported in good faith without fear of retaliation. Whistleblowers and witnesses are protected through confidentiality, non-retaliation safeguards and fair investigation arrangements.</w:t>
            </w:r>
          </w:p>
        </w:tc>
      </w:tr>
    </w:tbl>
    <w:p>
      <w:pPr>
        <w:spacing w:before="100" w:after="40" w:line="240" w:lineRule="auto"/>
      </w:pPr>
      <w:r>
        <w:rPr>
          <w:rFonts w:ascii="Arial" w:hAnsi="Arial"/>
          <w:b/>
          <w:color w:val="76213D"/>
          <w:sz w:val="21"/>
        </w:rPr>
        <w:t>Who and What the Policy Covers</w:t>
      </w:r>
    </w:p>
    <w:p>
      <w:pPr>
        <w:spacing w:before="0" w:after="24" w:line="240" w:lineRule="auto"/>
        <w:ind w:left="72" w:hanging="14"/>
      </w:pPr>
      <w:r>
        <w:rPr>
          <w:rFonts w:ascii="Arial" w:hAnsi="Arial"/>
          <w:b/>
          <w:color w:val="76213D"/>
          <w:sz w:val="18"/>
        </w:rPr>
        <w:t xml:space="preserve">• </w:t>
      </w:r>
      <w:r>
        <w:rPr>
          <w:rFonts w:ascii="Arial" w:hAnsi="Arial"/>
          <w:b w:val="0"/>
          <w:color w:val="2D2D2D"/>
          <w:sz w:val="18"/>
        </w:rPr>
        <w:t>The Policy applies to employees and management, Board and committee members, subsidiaries and affiliated entities, consultants, contractors, suppliers, partners and other parties involved in Amaar-supported activities.</w:t>
      </w:r>
    </w:p>
    <w:p>
      <w:pPr>
        <w:spacing w:before="0" w:after="24" w:line="240" w:lineRule="auto"/>
        <w:ind w:left="72" w:hanging="14"/>
      </w:pPr>
      <w:r>
        <w:rPr>
          <w:rFonts w:ascii="Arial" w:hAnsi="Arial"/>
          <w:b/>
          <w:color w:val="76213D"/>
          <w:sz w:val="18"/>
        </w:rPr>
        <w:t xml:space="preserve">• </w:t>
      </w:r>
      <w:r>
        <w:rPr>
          <w:rFonts w:ascii="Arial" w:hAnsi="Arial"/>
          <w:b w:val="0"/>
          <w:color w:val="2D2D2D"/>
          <w:sz w:val="18"/>
        </w:rPr>
        <w:t>Reports may concern suspected fraud, corruption, coercive, collusive or obstructive practices, retaliation, money laundering, terrorist financing, abuse, or other conduct that may violate applicable law, Amaar policies, fiduciary duties or relevant development-partner requirements.</w:t>
      </w:r>
    </w:p>
    <w:p>
      <w:pPr>
        <w:spacing w:before="0" w:after="24" w:line="240" w:lineRule="auto"/>
        <w:ind w:left="72" w:hanging="14"/>
      </w:pPr>
      <w:r>
        <w:rPr>
          <w:rFonts w:ascii="Arial" w:hAnsi="Arial"/>
          <w:b/>
          <w:color w:val="76213D"/>
          <w:sz w:val="18"/>
        </w:rPr>
        <w:t xml:space="preserve">• </w:t>
      </w:r>
      <w:r>
        <w:rPr>
          <w:rFonts w:ascii="Arial" w:hAnsi="Arial"/>
          <w:b w:val="0"/>
          <w:color w:val="2D2D2D"/>
          <w:sz w:val="18"/>
        </w:rPr>
        <w:t>Reports may be made anonymously, and confidentiality is preserved to the fullest extent possible, subject to legal requirements and the needs of a fair process.</w:t>
      </w:r>
    </w:p>
    <w:p>
      <w:pPr>
        <w:spacing w:before="0" w:after="24" w:line="240" w:lineRule="auto"/>
        <w:ind w:left="72" w:hanging="14"/>
      </w:pPr>
      <w:r>
        <w:rPr>
          <w:rFonts w:ascii="Arial" w:hAnsi="Arial"/>
          <w:b/>
          <w:color w:val="76213D"/>
          <w:sz w:val="18"/>
        </w:rPr>
        <w:t xml:space="preserve">• </w:t>
      </w:r>
      <w:r>
        <w:rPr>
          <w:rFonts w:ascii="Arial" w:hAnsi="Arial"/>
          <w:b w:val="0"/>
          <w:color w:val="2D2D2D"/>
          <w:sz w:val="18"/>
        </w:rPr>
        <w:t>Retaliation against a whistleblower or witness for reporting or cooperating in good faith is prohibited and may itself constitute misconduct.</w:t>
      </w:r>
    </w:p>
    <w:p>
      <w:pPr>
        <w:spacing w:before="100" w:after="40" w:line="240" w:lineRule="auto"/>
      </w:pPr>
      <w:r>
        <w:rPr>
          <w:rFonts w:ascii="Arial" w:hAnsi="Arial"/>
          <w:b/>
          <w:color w:val="76213D"/>
          <w:sz w:val="21"/>
        </w:rPr>
        <w:t>Protection &amp; Procedural Safeguards</w:t>
      </w:r>
    </w:p>
    <w:tbl>
      <w:tblPr>
        <w:tblW w:type="auto" w:w="0"/>
        <w:jc w:val="center"/>
        <w:tblLayout w:type="fixed"/>
        <w:tblLook w:firstColumn="1" w:firstRow="1" w:lastColumn="0" w:lastRow="0" w:noHBand="0" w:noVBand="1" w:val="04A0"/>
      </w:tblPr>
      <w:tblGrid>
        <w:gridCol w:w="5112"/>
        <w:gridCol w:w="5112"/>
      </w:tblGrid>
      <w:tr>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Confidentiality</w:t>
            </w:r>
          </w:p>
          <w:p>
            <w:pPr>
              <w:spacing w:before="0" w:after="0" w:line="240" w:lineRule="auto"/>
            </w:pPr>
            <w:r>
              <w:rPr>
                <w:rFonts w:ascii="Arial" w:hAnsi="Arial"/>
                <w:b w:val="0"/>
                <w:color w:val="2D2D2D"/>
                <w:sz w:val="16"/>
              </w:rPr>
              <w:t>Information is shared only on a strict need-to-know basis or where disclosure is legally required.</w:t>
            </w:r>
          </w:p>
        </w:tc>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Anonymity</w:t>
            </w:r>
          </w:p>
          <w:p>
            <w:pPr>
              <w:spacing w:before="0" w:after="0" w:line="240" w:lineRule="auto"/>
            </w:pPr>
            <w:r>
              <w:rPr>
                <w:rFonts w:ascii="Arial" w:hAnsi="Arial"/>
                <w:b w:val="0"/>
                <w:color w:val="2D2D2D"/>
                <w:sz w:val="16"/>
              </w:rPr>
              <w:t>Anonymous reports are accepted and may be assessed where sufficient information is available.</w:t>
            </w:r>
          </w:p>
        </w:tc>
      </w:tr>
      <w:tr>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Non-Retaliation</w:t>
            </w:r>
          </w:p>
          <w:p>
            <w:pPr>
              <w:spacing w:before="0" w:after="0" w:line="240" w:lineRule="auto"/>
            </w:pPr>
            <w:r>
              <w:rPr>
                <w:rFonts w:ascii="Arial" w:hAnsi="Arial"/>
                <w:b w:val="0"/>
                <w:color w:val="2D2D2D"/>
                <w:sz w:val="16"/>
              </w:rPr>
              <w:t>Concerns about retaliation may be reported through the same protected channels and are assessed seriously.</w:t>
            </w:r>
          </w:p>
        </w:tc>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Fairness &amp; Due Process</w:t>
            </w:r>
          </w:p>
          <w:p>
            <w:pPr>
              <w:spacing w:before="0" w:after="0" w:line="240" w:lineRule="auto"/>
            </w:pPr>
            <w:r>
              <w:rPr>
                <w:rFonts w:ascii="Arial" w:hAnsi="Arial"/>
                <w:b w:val="0"/>
                <w:color w:val="2D2D2D"/>
                <w:sz w:val="16"/>
              </w:rPr>
              <w:t>Investigations protect the rights of whistleblowers, witnesses and persons who are the subject of allegations.</w:t>
            </w:r>
          </w:p>
        </w:tc>
      </w:tr>
    </w:tbl>
    <w:p>
      <w:pPr>
        <w:spacing w:before="100" w:after="40" w:line="240" w:lineRule="auto"/>
      </w:pPr>
      <w:r>
        <w:rPr>
          <w:rFonts w:ascii="Arial" w:hAnsi="Arial"/>
          <w:b/>
          <w:color w:val="76213D"/>
          <w:sz w:val="21"/>
        </w:rPr>
        <w:t>What Happens After a Report</w:t>
      </w:r>
    </w:p>
    <w:tbl>
      <w:tblPr>
        <w:tblW w:type="auto" w:w="0"/>
        <w:jc w:val="center"/>
        <w:tblLook w:firstColumn="1" w:firstRow="1" w:lastColumn="0" w:lastRow="0" w:noHBand="0" w:noVBand="1" w:val="04A0"/>
      </w:tblPr>
      <w:tblGrid>
        <w:gridCol w:w="10224"/>
      </w:tblGrid>
      <w:tr>
        <w:tc>
          <w:tcPr>
            <w:tcW w:type="dxa" w:w="10224"/>
            <w:shd w:fill="F8F5F6"/>
            <w:tcMar>
              <w:top w:w="70" w:type="dxa"/>
              <w:start w:w="90" w:type="dxa"/>
              <w:bottom w:w="70" w:type="dxa"/>
              <w:end w:w="90" w:type="dxa"/>
            </w:tcMar>
            <w:tcBorders>
              <w:top w:val="single" w:sz="5" w:color="CFC7CB"/>
              <w:left w:val="single" w:sz="5" w:color="CFC7CB"/>
              <w:bottom w:val="single" w:sz="5" w:color="CFC7CB"/>
              <w:right w:val="single" w:sz="5" w:color="CFC7CB"/>
            </w:tcBorders>
          </w:tcPr>
          <w:p>
            <w:pPr>
              <w:spacing w:before="0" w:after="0" w:line="240" w:lineRule="auto"/>
              <w:jc w:val="center"/>
            </w:pPr>
            <w:r>
              <w:rPr>
                <w:rFonts w:ascii="Arial" w:hAnsi="Arial"/>
                <w:b/>
                <w:color w:val="76213D"/>
                <w:sz w:val="16"/>
              </w:rPr>
              <w:t>Secure Receipt</w:t>
            </w:r>
            <w:r>
              <w:rPr>
                <w:rFonts w:ascii="Arial" w:hAnsi="Arial"/>
                <w:b/>
                <w:color w:val="666666"/>
                <w:sz w:val="16"/>
              </w:rPr>
              <w:t xml:space="preserve">  →  </w:t>
            </w:r>
            <w:r>
              <w:rPr>
                <w:rFonts w:ascii="Arial" w:hAnsi="Arial"/>
                <w:b w:val="0"/>
                <w:color w:val="2D2D2D"/>
                <w:sz w:val="16"/>
              </w:rPr>
              <w:t>Preliminary Assessment</w:t>
            </w:r>
            <w:r>
              <w:rPr>
                <w:rFonts w:ascii="Arial" w:hAnsi="Arial"/>
                <w:b/>
                <w:color w:val="666666"/>
                <w:sz w:val="16"/>
              </w:rPr>
              <w:t xml:space="preserve">  →  </w:t>
            </w:r>
            <w:r>
              <w:rPr>
                <w:rFonts w:ascii="Arial" w:hAnsi="Arial"/>
                <w:b/>
                <w:color w:val="76213D"/>
                <w:sz w:val="16"/>
              </w:rPr>
              <w:t>Independent Investigation</w:t>
            </w:r>
            <w:r>
              <w:rPr>
                <w:rFonts w:ascii="Arial" w:hAnsi="Arial"/>
                <w:b/>
                <w:color w:val="666666"/>
                <w:sz w:val="16"/>
              </w:rPr>
              <w:t xml:space="preserve">  →  </w:t>
            </w:r>
            <w:r>
              <w:rPr>
                <w:rFonts w:ascii="Arial" w:hAnsi="Arial"/>
                <w:b w:val="0"/>
                <w:color w:val="2D2D2D"/>
                <w:sz w:val="16"/>
              </w:rPr>
              <w:t>Findings</w:t>
            </w:r>
            <w:r>
              <w:rPr>
                <w:rFonts w:ascii="Arial" w:hAnsi="Arial"/>
                <w:b/>
                <w:color w:val="666666"/>
                <w:sz w:val="16"/>
              </w:rPr>
              <w:t xml:space="preserve">  →  </w:t>
            </w:r>
            <w:r>
              <w:rPr>
                <w:rFonts w:ascii="Arial" w:hAnsi="Arial"/>
                <w:b/>
                <w:color w:val="76213D"/>
                <w:sz w:val="16"/>
              </w:rPr>
              <w:t>Corrective Action</w:t>
            </w:r>
            <w:r>
              <w:rPr>
                <w:rFonts w:ascii="Arial" w:hAnsi="Arial"/>
                <w:b/>
                <w:color w:val="666666"/>
                <w:sz w:val="16"/>
              </w:rPr>
              <w:t xml:space="preserve">  →  </w:t>
            </w:r>
            <w:r>
              <w:rPr>
                <w:rFonts w:ascii="Arial" w:hAnsi="Arial"/>
                <w:b w:val="0"/>
                <w:color w:val="2D2D2D"/>
                <w:sz w:val="16"/>
              </w:rPr>
              <w:t>Closure &amp; Learning</w:t>
            </w:r>
          </w:p>
        </w:tc>
      </w:tr>
    </w:tbl>
    <w:p>
      <w:pPr>
        <w:spacing w:before="0" w:after="60" w:line="240" w:lineRule="auto"/>
      </w:pPr>
      <w:r>
        <w:rPr>
          <w:rFonts w:ascii="Arial" w:hAnsi="Arial"/>
          <w:b/>
          <w:color w:val="76213D"/>
          <w:sz w:val="16"/>
        </w:rPr>
        <w:t xml:space="preserve">Oversight. </w:t>
      </w:r>
      <w:r>
        <w:rPr>
          <w:rFonts w:ascii="Arial" w:hAnsi="Arial"/>
          <w:b w:val="0"/>
          <w:color w:val="2D2D2D"/>
          <w:sz w:val="16"/>
        </w:rPr>
        <w:t>Serious or systemic matters are subject to appropriate governance oversight. Investigation and corrective action are handled proportionately, with conflict-of-interest, confidentiality and fairness safeguards.</w:t>
      </w:r>
    </w:p>
    <w:tbl>
      <w:tblPr>
        <w:tblW w:type="auto" w:w="0"/>
        <w:jc w:val="center"/>
        <w:tblLook w:firstColumn="1" w:firstRow="1" w:lastColumn="0" w:lastRow="0" w:noHBand="0" w:noVBand="1" w:val="04A0"/>
      </w:tblPr>
      <w:tblGrid>
        <w:gridCol w:w="10224"/>
      </w:tblGrid>
      <w:tr>
        <w:tc>
          <w:tcPr>
            <w:tcW w:type="dxa" w:w="10224"/>
            <w:shd w:fill="FAF8F9"/>
            <w:tcMar>
              <w:top w:w="75" w:type="dxa"/>
              <w:start w:w="90" w:type="dxa"/>
              <w:bottom w:w="75" w:type="dxa"/>
              <w:end w:w="90" w:type="dxa"/>
            </w:tcMar>
            <w:tcBorders>
              <w:top w:val="single" w:sz="7" w:color="76213D"/>
              <w:left w:val="single" w:sz="7" w:color="76213D"/>
              <w:bottom w:val="single" w:sz="7" w:color="76213D"/>
              <w:right w:val="single" w:sz="7" w:color="76213D"/>
            </w:tcBorders>
          </w:tcPr>
          <w:p>
            <w:pPr>
              <w:spacing w:before="0" w:after="20" w:line="240" w:lineRule="auto"/>
            </w:pPr>
            <w:r>
              <w:rPr>
                <w:rFonts w:ascii="Arial" w:hAnsi="Arial"/>
                <w:b/>
                <w:color w:val="76213D"/>
                <w:sz w:val="18"/>
              </w:rPr>
              <w:t>Report a concern</w:t>
            </w:r>
          </w:p>
          <w:p>
            <w:pPr>
              <w:spacing w:before="0" w:after="20" w:line="240" w:lineRule="auto"/>
            </w:pPr>
            <w:r>
              <w:rPr>
                <w:rFonts w:ascii="Arial" w:hAnsi="Arial"/>
                <w:b w:val="0"/>
                <w:color w:val="2D2D2D"/>
                <w:sz w:val="17"/>
              </w:rPr>
              <w:t>This document is a public summary of Amaar Group’s Policy on the Protection of Whistleblowers and Witnesses. Reports should be made in good faith and may be submitted anonymously through the website reporting route or confidential integrity email.</w:t>
            </w:r>
          </w:p>
          <w:p>
            <w:pPr>
              <w:spacing w:before="0" w:after="0" w:line="240" w:lineRule="auto"/>
            </w:pPr>
            <w:r>
              <w:rPr>
                <w:rFonts w:ascii="Arial" w:hAnsi="Arial"/>
                <w:b w:val="0"/>
                <w:color w:val="2D2D2D"/>
                <w:sz w:val="17"/>
              </w:rPr>
              <w:t xml:space="preserve">Confidential reporting contact: </w:t>
            </w:r>
            <w:r>
              <w:rPr>
                <w:rFonts w:ascii="Arial" w:hAnsi="Arial"/>
                <w:b/>
                <w:color w:val="76213D"/>
                <w:sz w:val="17"/>
              </w:rPr>
              <w:t>integrity@amaar.ps</w:t>
            </w:r>
          </w:p>
        </w:tc>
      </w:tr>
    </w:tbl>
    <w:sectPr w:rsidR="00FC693F" w:rsidRPr="0006063C" w:rsidSect="00034616">
      <w:headerReference w:type="default" r:id="rId9"/>
      <w:footerReference w:type="default" r:id="rId10"/>
      <w:pgSz w:w="12240" w:h="15840"/>
      <w:pgMar w:top="792" w:right="1008" w:bottom="792" w:left="1008"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Arial" w:hAnsi="Arial"/>
        <w:b w:val="0"/>
        <w:color w:val="666666"/>
        <w:sz w:val="14"/>
      </w:rPr>
      <w:t>Amaar Group | Whistleblower &amp; Witness Protection Policy – Public Summary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right"/>
    </w:pPr>
    <w:r>
      <w:rPr>
        <w:rFonts w:ascii="Arial" w:hAnsi="Arial"/>
        <w:b/>
        <w:color w:val="76213D"/>
        <w:sz w:val="16"/>
      </w:rPr>
      <w:t>AMAAR GROUP  |  SUSTAINABLE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2D2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