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b/>
          <w:color w:val="76213D"/>
          <w:sz w:val="20"/>
        </w:rPr>
        <w:t>AMAAR GROUP</w:t>
      </w:r>
    </w:p>
    <w:p>
      <w:pPr>
        <w:spacing w:before="0" w:after="20" w:line="240" w:lineRule="auto"/>
        <w:jc w:val="center"/>
      </w:pPr>
      <w:r>
        <w:rPr>
          <w:rFonts w:ascii="Arial" w:hAnsi="Arial"/>
          <w:b/>
          <w:color w:val="2D2D2D"/>
          <w:sz w:val="32"/>
        </w:rPr>
        <w:t>SUSTAINABLE &amp; CLIMATE STATEMENT</w:t>
      </w:r>
    </w:p>
    <w:p>
      <w:pPr>
        <w:spacing w:before="0" w:after="120" w:line="240" w:lineRule="auto"/>
        <w:jc w:val="center"/>
      </w:pPr>
      <w:r>
        <w:rPr>
          <w:rFonts w:ascii="Arial" w:hAnsi="Arial"/>
          <w:b/>
          <w:color w:val="76213D"/>
          <w:sz w:val="19"/>
        </w:rPr>
        <w:t>PUBLIC STATEMENT</w:t>
      </w:r>
    </w:p>
    <w:tbl>
      <w:tblPr>
        <w:tblW w:type="auto" w:w="0"/>
        <w:jc w:val="center"/>
        <w:tblLayout w:type="autofit"/>
        <w:tblLook w:firstColumn="1" w:firstRow="1" w:lastColumn="0" w:lastRow="0" w:noHBand="0" w:noVBand="1" w:val="04A0"/>
      </w:tblPr>
      <w:tblGrid>
        <w:gridCol w:w="10224"/>
      </w:tblGrid>
      <w:tr>
        <w:tc>
          <w:tcPr>
            <w:tcW w:type="dxa" w:w="10224"/>
            <w:shd w:fill="F5F1F3"/>
            <w:tcMar>
              <w:top w:w="80" w:type="dxa"/>
              <w:start w:w="100" w:type="dxa"/>
              <w:bottom w:w="80" w:type="dxa"/>
              <w:end w:w="100" w:type="dxa"/>
            </w:tcMar>
            <w:tcBorders>
              <w:top w:val="single" w:sz="8" w:color="76213D"/>
              <w:left w:val="single" w:sz="8" w:color="76213D"/>
              <w:bottom w:val="single" w:sz="8" w:color="76213D"/>
              <w:right w:val="single" w:sz="8" w:color="76213D"/>
            </w:tcBorders>
          </w:tcPr>
          <w:p>
            <w:pPr>
              <w:spacing w:before="0" w:after="0" w:line="240" w:lineRule="auto"/>
            </w:pPr>
            <w:r>
              <w:rPr>
                <w:rFonts w:ascii="Arial" w:hAnsi="Arial"/>
                <w:b/>
                <w:color w:val="76213D"/>
                <w:sz w:val="19"/>
              </w:rPr>
              <w:t xml:space="preserve">Our direction. </w:t>
            </w:r>
            <w:r>
              <w:rPr>
                <w:rFonts w:ascii="Arial" w:hAnsi="Arial"/>
                <w:b w:val="0"/>
                <w:color w:val="2D2D2D"/>
                <w:sz w:val="19"/>
              </w:rPr>
              <w:t>Amaar Group is committed to creating long-term value for Palestine through responsible development, sustainable infrastructure, efficient land use, resilient communities and accountable investment. Climate and sustainability considerations are progressively integrated into project development, investment planning and delivery.</w:t>
            </w:r>
          </w:p>
        </w:tc>
      </w:tr>
    </w:tbl>
    <w:p>
      <w:pPr>
        <w:spacing w:before="100" w:after="40" w:line="240" w:lineRule="auto"/>
      </w:pPr>
      <w:r>
        <w:rPr>
          <w:rFonts w:ascii="Arial" w:hAnsi="Arial"/>
          <w:b/>
          <w:color w:val="76213D"/>
          <w:sz w:val="21"/>
        </w:rPr>
        <w:t>What This Means in Practice</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Develop infrastructure and urban projects that improve resilience, resource efficiency and long-term service quality.</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Support low-emission development through renewable energy, energy efficiency and cleaner infrastructure solutions.</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Strengthen essential water, wastewater, waste and other services that underpin public health, economic resilience and climate adaptation.</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Promote efficient use of energy, water, land and materials, including water–energy–food–waste nexus and circular-economy approaches where relevant.</w:t>
      </w:r>
    </w:p>
    <w:p>
      <w:pPr>
        <w:spacing w:before="100" w:after="40" w:line="240" w:lineRule="auto"/>
      </w:pPr>
      <w:r>
        <w:rPr>
          <w:rFonts w:ascii="Arial" w:hAnsi="Arial"/>
          <w:b/>
          <w:color w:val="76213D"/>
          <w:sz w:val="21"/>
        </w:rPr>
        <w:t>Our Sustainable-Development Priorities</w:t>
      </w:r>
    </w:p>
    <w:tbl>
      <w:tblPr>
        <w:tblW w:type="auto" w:w="0"/>
        <w:jc w:val="center"/>
        <w:tblLayout w:type="fixed"/>
        <w:tblLook w:firstColumn="1" w:firstRow="1" w:lastColumn="0" w:lastRow="0" w:noHBand="0" w:noVBand="1" w:val="04A0"/>
      </w:tblPr>
      <w:tblGrid>
        <w:gridCol w:w="5112"/>
        <w:gridCol w:w="5112"/>
      </w:tblGrid>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Resilient Infrastructure</w:t>
            </w:r>
          </w:p>
          <w:p>
            <w:pPr>
              <w:spacing w:before="0" w:after="0" w:line="240" w:lineRule="auto"/>
            </w:pPr>
            <w:r>
              <w:rPr>
                <w:rFonts w:ascii="Arial" w:hAnsi="Arial"/>
                <w:b w:val="0"/>
                <w:color w:val="2D2D2D"/>
                <w:sz w:val="16"/>
              </w:rPr>
              <w:t>Climate-conscious urban, industrial and essential infrastructure designed for long-term resilience and service continuity.</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Energy Transition</w:t>
            </w:r>
          </w:p>
          <w:p>
            <w:pPr>
              <w:spacing w:before="0" w:after="0" w:line="240" w:lineRule="auto"/>
            </w:pPr>
            <w:r>
              <w:rPr>
                <w:rFonts w:ascii="Arial" w:hAnsi="Arial"/>
                <w:b w:val="0"/>
                <w:color w:val="2D2D2D"/>
                <w:sz w:val="16"/>
              </w:rPr>
              <w:t>Renewable energy and energy-efficiency solutions that support lower emissions and stronger energy security.</w:t>
            </w:r>
          </w:p>
        </w:tc>
      </w:tr>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Productive Economy</w:t>
            </w:r>
          </w:p>
          <w:p>
            <w:pPr>
              <w:spacing w:before="0" w:after="0" w:line="240" w:lineRule="auto"/>
            </w:pPr>
            <w:r>
              <w:rPr>
                <w:rFonts w:ascii="Arial" w:hAnsi="Arial"/>
                <w:b w:val="0"/>
                <w:color w:val="2D2D2D"/>
                <w:sz w:val="16"/>
              </w:rPr>
              <w:t>Industrial, trade and logistics infrastructure that strengthens local production, value chains and economic resilience.</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Responsible Investment</w:t>
            </w:r>
          </w:p>
          <w:p>
            <w:pPr>
              <w:spacing w:before="0" w:after="0" w:line="240" w:lineRule="auto"/>
            </w:pPr>
            <w:r>
              <w:rPr>
                <w:rFonts w:ascii="Arial" w:hAnsi="Arial"/>
                <w:b w:val="0"/>
                <w:color w:val="2D2D2D"/>
                <w:sz w:val="16"/>
              </w:rPr>
              <w:t>Environmental and social safeguards, stakeholder accountability, sound governance and mobilisation of sustainable finance.</w:t>
            </w:r>
          </w:p>
        </w:tc>
      </w:tr>
    </w:tbl>
    <w:p>
      <w:pPr>
        <w:spacing w:before="100" w:after="40" w:line="240" w:lineRule="auto"/>
      </w:pPr>
      <w:r>
        <w:rPr>
          <w:rFonts w:ascii="Arial" w:hAnsi="Arial"/>
          <w:b/>
          <w:color w:val="76213D"/>
          <w:sz w:val="21"/>
        </w:rPr>
        <w:t>Strategic Alignment</w:t>
      </w:r>
    </w:p>
    <w:p>
      <w:pPr>
        <w:spacing w:before="0" w:after="40" w:line="240" w:lineRule="auto"/>
      </w:pPr>
      <w:r>
        <w:rPr>
          <w:rFonts w:ascii="Arial" w:hAnsi="Arial"/>
          <w:b/>
          <w:color w:val="76213D"/>
          <w:sz w:val="17"/>
        </w:rPr>
        <w:t xml:space="preserve">PIF Strategy 2025–2027. </w:t>
      </w:r>
      <w:r>
        <w:rPr>
          <w:rFonts w:ascii="Arial" w:hAnsi="Arial"/>
          <w:b w:val="0"/>
          <w:color w:val="2D2D2D"/>
          <w:sz w:val="17"/>
        </w:rPr>
        <w:t>Amaar’s sustainable-development direction supports the Palestine Investment Fund’s priorities to develop critical national infrastructure, strengthen strategic domestic production and services, attract investment and build high-performing delivery capacity.</w:t>
      </w:r>
    </w:p>
    <w:p>
      <w:pPr>
        <w:spacing w:before="0" w:after="40" w:line="240" w:lineRule="auto"/>
      </w:pPr>
      <w:r>
        <w:rPr>
          <w:rFonts w:ascii="Arial" w:hAnsi="Arial"/>
          <w:b/>
          <w:color w:val="76213D"/>
          <w:sz w:val="17"/>
        </w:rPr>
        <w:t xml:space="preserve">National climate priorities. </w:t>
      </w:r>
      <w:r>
        <w:rPr>
          <w:rFonts w:ascii="Arial" w:hAnsi="Arial"/>
          <w:b w:val="0"/>
          <w:color w:val="2D2D2D"/>
          <w:sz w:val="17"/>
        </w:rPr>
        <w:t>Climate-related investments are developed with reference to Palestine’s national climate and development priorities, including renewable energy, energy efficiency, resilient water and wastewater systems, sustainable urban development and resilience of productive sectors.</w:t>
      </w:r>
    </w:p>
    <w:p>
      <w:pPr>
        <w:spacing w:before="0" w:after="60" w:line="240" w:lineRule="auto"/>
      </w:pPr>
      <w:r>
        <w:rPr>
          <w:rFonts w:ascii="Arial" w:hAnsi="Arial"/>
          <w:b/>
          <w:color w:val="76213D"/>
          <w:sz w:val="17"/>
        </w:rPr>
        <w:t xml:space="preserve">Accountability. </w:t>
      </w:r>
      <w:r>
        <w:rPr>
          <w:rFonts w:ascii="Arial" w:hAnsi="Arial"/>
          <w:b w:val="0"/>
          <w:color w:val="2D2D2D"/>
          <w:sz w:val="17"/>
        </w:rPr>
        <w:t>The Board provides strategic oversight, senior management translates priorities into projects and investments, and progress is reviewed through internal monitoring, learning and periodic strategic review.</w:t>
      </w:r>
    </w:p>
    <w:tbl>
      <w:tblPr>
        <w:tblW w:type="auto" w:w="0"/>
        <w:jc w:val="center"/>
        <w:tblLook w:firstColumn="1" w:firstRow="1" w:lastColumn="0" w:lastRow="0" w:noHBand="0" w:noVBand="1" w:val="04A0"/>
      </w:tblPr>
      <w:tblGrid>
        <w:gridCol w:w="10224"/>
      </w:tblGrid>
      <w:tr>
        <w:tc>
          <w:tcPr>
            <w:tcW w:type="dxa" w:w="10224"/>
            <w:shd w:fill="FAF8F9"/>
            <w:tcMar>
              <w:top w:w="75" w:type="dxa"/>
              <w:start w:w="90" w:type="dxa"/>
              <w:bottom w:w="75" w:type="dxa"/>
              <w:end w:w="90" w:type="dxa"/>
            </w:tcMar>
            <w:tcBorders>
              <w:top w:val="single" w:sz="7" w:color="76213D"/>
              <w:left w:val="single" w:sz="7" w:color="76213D"/>
              <w:bottom w:val="single" w:sz="7" w:color="76213D"/>
              <w:right w:val="single" w:sz="7" w:color="76213D"/>
            </w:tcBorders>
          </w:tcPr>
          <w:p>
            <w:pPr>
              <w:spacing w:before="0" w:after="20" w:line="240" w:lineRule="auto"/>
            </w:pPr>
            <w:r>
              <w:rPr>
                <w:rFonts w:ascii="Arial" w:hAnsi="Arial"/>
                <w:b/>
                <w:color w:val="76213D"/>
                <w:sz w:val="18"/>
              </w:rPr>
              <w:t>About this statement</w:t>
            </w:r>
          </w:p>
          <w:p>
            <w:pPr>
              <w:spacing w:before="0" w:after="20" w:line="240" w:lineRule="auto"/>
            </w:pPr>
            <w:r>
              <w:rPr>
                <w:rFonts w:ascii="Arial" w:hAnsi="Arial"/>
                <w:b w:val="0"/>
                <w:color w:val="2D2D2D"/>
                <w:sz w:val="17"/>
              </w:rPr>
              <w:t>This is Amaar Group’s public Sustainable &amp; Climate Statement. It summarizes the Group’s sustainable-development direction and is intended to be read alongside the PIF Strategy 2025–2027 and Amaar’s public environmental, social and accountability documents.</w:t>
            </w:r>
          </w:p>
          <w:p>
            <w:pPr>
              <w:spacing w:before="0" w:after="0" w:line="240" w:lineRule="auto"/>
            </w:pPr>
            <w:r>
              <w:rPr>
                <w:rFonts w:ascii="Arial" w:hAnsi="Arial"/>
                <w:b w:val="0"/>
                <w:color w:val="2D2D2D"/>
                <w:sz w:val="17"/>
              </w:rPr>
              <w:t xml:space="preserve">For sustainability information or enquiries, please contact: </w:t>
            </w:r>
            <w:r>
              <w:rPr>
                <w:rFonts w:ascii="Arial" w:hAnsi="Arial"/>
                <w:b/>
                <w:color w:val="76213D"/>
                <w:sz w:val="17"/>
              </w:rPr>
              <w:t>sustainability@amaar.ps</w:t>
            </w:r>
          </w:p>
        </w:tc>
      </w:tr>
    </w:tbl>
    <w:sectPr w:rsidR="00FC693F" w:rsidRPr="0006063C" w:rsidSect="00034616">
      <w:headerReference w:type="default" r:id="rId9"/>
      <w:footerReference w:type="default" r:id="rId10"/>
      <w:pgSz w:w="12240" w:h="15840"/>
      <w:pgMar w:top="792" w:right="1008" w:bottom="792" w:left="1008"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b w:val="0"/>
        <w:color w:val="666666"/>
        <w:sz w:val="14"/>
      </w:rPr>
      <w:t>Amaar Group | Sustainable &amp; Climate Statement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color w:val="76213D"/>
        <w:sz w:val="16"/>
      </w:rPr>
      <w:t>AMAAR GROUP  |  SUSTAINABLE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2D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