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rFonts w:ascii="Arial" w:hAnsi="Arial"/>
          <w:b/>
          <w:color w:val="76213D"/>
          <w:sz w:val="20"/>
        </w:rPr>
        <w:t>AMAAR GROUP</w:t>
      </w:r>
    </w:p>
    <w:p>
      <w:pPr>
        <w:spacing w:before="0" w:after="20" w:line="240" w:lineRule="auto"/>
        <w:jc w:val="center"/>
      </w:pPr>
      <w:r>
        <w:rPr>
          <w:rFonts w:ascii="Arial" w:hAnsi="Arial"/>
          <w:b/>
          <w:color w:val="2D2D2D"/>
          <w:sz w:val="32"/>
        </w:rPr>
        <w:t>STAKEHOLDER ENGAGEMENT &amp; INFORMATION DISCLOSURE</w:t>
      </w:r>
    </w:p>
    <w:p>
      <w:pPr>
        <w:spacing w:before="0" w:after="120" w:line="240" w:lineRule="auto"/>
        <w:jc w:val="center"/>
      </w:pPr>
      <w:r>
        <w:rPr>
          <w:rFonts w:ascii="Arial" w:hAnsi="Arial"/>
          <w:b/>
          <w:color w:val="76213D"/>
          <w:sz w:val="19"/>
        </w:rPr>
        <w:t>PUBLIC SUMMARY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5F1F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8" w:color="76213D"/>
              <w:left w:val="single" w:sz="8" w:color="76213D"/>
              <w:bottom w:val="single" w:sz="8" w:color="76213D"/>
              <w:right w:val="single" w:sz="8" w:color="76213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76213D"/>
                <w:sz w:val="19"/>
              </w:rPr>
              <w:t xml:space="preserve">Our commitment. </w:t>
            </w:r>
            <w:r>
              <w:rPr>
                <w:rFonts w:ascii="Arial" w:hAnsi="Arial"/>
                <w:b w:val="0"/>
                <w:color w:val="2D2D2D"/>
                <w:sz w:val="19"/>
              </w:rPr>
              <w:t>Amaar Group seeks to ensure that stakeholders receive relevant environmental and social information in a timely and accessible manner and have meaningful opportunities to provide input throughout the project lifecycle. Engagement is proportionate to project risks, impacts and stakeholder needs.</w:t>
            </w:r>
          </w:p>
        </w:tc>
      </w:tr>
    </w:tbl>
    <w:p>
      <w:pPr>
        <w:spacing w:before="100" w:after="40" w:line="240" w:lineRule="auto"/>
      </w:pPr>
      <w:r>
        <w:rPr>
          <w:rFonts w:ascii="Arial" w:hAnsi="Arial"/>
          <w:b/>
          <w:color w:val="76213D"/>
          <w:sz w:val="21"/>
        </w:rPr>
        <w:t>Principles of Engagement</w:t>
      </w:r>
    </w:p>
    <w:p>
      <w:pPr>
        <w:spacing w:before="0" w:after="24" w:line="240" w:lineRule="auto"/>
        <w:ind w:left="72" w:hanging="14"/>
      </w:pPr>
      <w:r>
        <w:rPr>
          <w:rFonts w:ascii="Arial" w:hAnsi="Arial"/>
          <w:b/>
          <w:color w:val="76213D"/>
          <w:sz w:val="18"/>
        </w:rPr>
        <w:t xml:space="preserve">• </w:t>
      </w:r>
      <w:r>
        <w:rPr>
          <w:rFonts w:ascii="Arial" w:hAnsi="Arial"/>
          <w:b w:val="0"/>
          <w:color w:val="2D2D2D"/>
          <w:sz w:val="18"/>
        </w:rPr>
        <w:t>Engage early enough to inform project design and decision-making, and continue engagement where project impacts or stakeholder interests require it.</w:t>
      </w:r>
    </w:p>
    <w:p>
      <w:pPr>
        <w:spacing w:before="0" w:after="24" w:line="240" w:lineRule="auto"/>
        <w:ind w:left="72" w:hanging="14"/>
      </w:pPr>
      <w:r>
        <w:rPr>
          <w:rFonts w:ascii="Arial" w:hAnsi="Arial"/>
          <w:b/>
          <w:color w:val="76213D"/>
          <w:sz w:val="18"/>
        </w:rPr>
        <w:t xml:space="preserve">• </w:t>
      </w:r>
      <w:r>
        <w:rPr>
          <w:rFonts w:ascii="Arial" w:hAnsi="Arial"/>
          <w:b w:val="0"/>
          <w:color w:val="2D2D2D"/>
          <w:sz w:val="18"/>
        </w:rPr>
        <w:t>Use inclusive and accessible approaches, with particular attention to people who may be vulnerable, disadvantaged or face barriers to participation.</w:t>
      </w:r>
    </w:p>
    <w:p>
      <w:pPr>
        <w:spacing w:before="0" w:after="24" w:line="240" w:lineRule="auto"/>
        <w:ind w:left="72" w:hanging="14"/>
      </w:pPr>
      <w:r>
        <w:rPr>
          <w:rFonts w:ascii="Arial" w:hAnsi="Arial"/>
          <w:b/>
          <w:color w:val="76213D"/>
          <w:sz w:val="18"/>
        </w:rPr>
        <w:t xml:space="preserve">• </w:t>
      </w:r>
      <w:r>
        <w:rPr>
          <w:rFonts w:ascii="Arial" w:hAnsi="Arial"/>
          <w:b w:val="0"/>
          <w:color w:val="2D2D2D"/>
          <w:sz w:val="18"/>
        </w:rPr>
        <w:t>Provide information in understandable formats and appropriate languages, and give stakeholders reasonable opportunities to raise questions, concerns and recommendations.</w:t>
      </w:r>
    </w:p>
    <w:p>
      <w:pPr>
        <w:spacing w:before="0" w:after="24" w:line="240" w:lineRule="auto"/>
        <w:ind w:left="72" w:hanging="14"/>
      </w:pPr>
      <w:r>
        <w:rPr>
          <w:rFonts w:ascii="Arial" w:hAnsi="Arial"/>
          <w:b/>
          <w:color w:val="76213D"/>
          <w:sz w:val="18"/>
        </w:rPr>
        <w:t xml:space="preserve">• </w:t>
      </w:r>
      <w:r>
        <w:rPr>
          <w:rFonts w:ascii="Arial" w:hAnsi="Arial"/>
          <w:b w:val="0"/>
          <w:color w:val="2D2D2D"/>
          <w:sz w:val="18"/>
        </w:rPr>
        <w:t>Document material consultation, disclosure and feedback, and protect stakeholders from coercion, intimidation, manipulation or retaliation.</w:t>
      </w:r>
    </w:p>
    <w:p>
      <w:pPr>
        <w:spacing w:before="100" w:after="40" w:line="240" w:lineRule="auto"/>
      </w:pPr>
      <w:r>
        <w:rPr>
          <w:rFonts w:ascii="Arial" w:hAnsi="Arial"/>
          <w:b/>
          <w:color w:val="76213D"/>
          <w:sz w:val="21"/>
        </w:rPr>
        <w:t>How Stakeholders Can Engage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top"/>
            <w:tcMar>
              <w:top w:w="65" w:type="dxa"/>
              <w:start w:w="75" w:type="dxa"/>
              <w:bottom w:w="65" w:type="dxa"/>
              <w:end w:w="75" w:type="dxa"/>
            </w:tcMar>
            <w:tcBorders>
              <w:top w:val="single" w:sz="4" w:color="CFC7CB"/>
              <w:left w:val="single" w:sz="4" w:color="CFC7CB"/>
              <w:bottom w:val="single" w:sz="4" w:color="CFC7CB"/>
              <w:right w:val="single" w:sz="4" w:color="CFC7CB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color w:val="76213D"/>
                <w:sz w:val="18"/>
              </w:rPr>
              <w:t>Consultation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2D2D"/>
                <w:sz w:val="16"/>
              </w:rPr>
              <w:t>Project-specific meetings, discussions and other engagement methods are selected according to the nature, scale and location of potential impacts.</w:t>
            </w:r>
          </w:p>
        </w:tc>
        <w:tc>
          <w:tcPr>
            <w:tcW w:type="dxa" w:w="5112"/>
            <w:vAlign w:val="top"/>
            <w:tcMar>
              <w:top w:w="65" w:type="dxa"/>
              <w:start w:w="75" w:type="dxa"/>
              <w:bottom w:w="65" w:type="dxa"/>
              <w:end w:w="75" w:type="dxa"/>
            </w:tcMar>
            <w:tcBorders>
              <w:top w:val="single" w:sz="4" w:color="CFC7CB"/>
              <w:left w:val="single" w:sz="4" w:color="CFC7CB"/>
              <w:bottom w:val="single" w:sz="4" w:color="CFC7CB"/>
              <w:right w:val="single" w:sz="4" w:color="CFC7CB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color w:val="76213D"/>
                <w:sz w:val="18"/>
              </w:rPr>
              <w:t>Information Disclosure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2D2D"/>
                <w:sz w:val="16"/>
              </w:rPr>
              <w:t>Relevant public E&amp;S information may be disclosed through Amaar’s website, project pages, consultation meetings and accessible local channels.</w:t>
            </w:r>
          </w:p>
        </w:tc>
      </w:tr>
      <w:tr>
        <w:tc>
          <w:tcPr>
            <w:tcW w:type="dxa" w:w="5112"/>
            <w:vAlign w:val="top"/>
            <w:tcMar>
              <w:top w:w="65" w:type="dxa"/>
              <w:start w:w="75" w:type="dxa"/>
              <w:bottom w:w="65" w:type="dxa"/>
              <w:end w:w="75" w:type="dxa"/>
            </w:tcMar>
            <w:tcBorders>
              <w:top w:val="single" w:sz="4" w:color="CFC7CB"/>
              <w:left w:val="single" w:sz="4" w:color="CFC7CB"/>
              <w:bottom w:val="single" w:sz="4" w:color="CFC7CB"/>
              <w:right w:val="single" w:sz="4" w:color="CFC7CB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color w:val="76213D"/>
                <w:sz w:val="18"/>
              </w:rPr>
              <w:t>Questions &amp; Feedback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2D2D"/>
                <w:sz w:val="16"/>
              </w:rPr>
              <w:t>Third parties may submit E&amp;S questions, information requests, comments, project feedback or concerns through Amaar’s public communication channels.</w:t>
            </w:r>
          </w:p>
        </w:tc>
        <w:tc>
          <w:tcPr>
            <w:tcW w:type="dxa" w:w="5112"/>
            <w:vAlign w:val="top"/>
            <w:tcMar>
              <w:top w:w="65" w:type="dxa"/>
              <w:start w:w="75" w:type="dxa"/>
              <w:bottom w:w="65" w:type="dxa"/>
              <w:end w:w="75" w:type="dxa"/>
            </w:tcMar>
            <w:tcBorders>
              <w:top w:val="single" w:sz="4" w:color="CFC7CB"/>
              <w:left w:val="single" w:sz="4" w:color="CFC7CB"/>
              <w:bottom w:val="single" w:sz="4" w:color="CFC7CB"/>
              <w:right w:val="single" w:sz="4" w:color="CFC7CB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color w:val="76213D"/>
                <w:sz w:val="18"/>
              </w:rPr>
              <w:t>Formal Concerns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2D2D"/>
                <w:sz w:val="16"/>
              </w:rPr>
              <w:t>Matters alleging actual or potential harm requiring formal resolution are referred to the GRM; safeguarding disclosures follow confidential pathways.</w:t>
            </w:r>
          </w:p>
        </w:tc>
      </w:tr>
    </w:tbl>
    <w:p>
      <w:pPr>
        <w:spacing w:before="100" w:after="40" w:line="240" w:lineRule="auto"/>
      </w:pPr>
      <w:r>
        <w:rPr>
          <w:rFonts w:ascii="Arial" w:hAnsi="Arial"/>
          <w:b/>
          <w:color w:val="76213D"/>
          <w:sz w:val="21"/>
        </w:rPr>
        <w:t>External Communication Process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8F5F6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5" w:color="CFC7CB"/>
              <w:left w:val="single" w:sz="5" w:color="CFC7CB"/>
              <w:bottom w:val="single" w:sz="5" w:color="CFC7CB"/>
              <w:right w:val="single" w:sz="5" w:color="CFC7CB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76213D"/>
                <w:sz w:val="16"/>
              </w:rPr>
              <w:t>Receive</w:t>
            </w:r>
            <w:r>
              <w:rPr>
                <w:rFonts w:ascii="Arial" w:hAnsi="Arial"/>
                <w:b/>
                <w:color w:val="666666"/>
                <w:sz w:val="16"/>
              </w:rPr>
              <w:t xml:space="preserve">  →  </w:t>
            </w:r>
            <w:r>
              <w:rPr>
                <w:rFonts w:ascii="Arial" w:hAnsi="Arial"/>
                <w:b w:val="0"/>
                <w:color w:val="2D2D2D"/>
                <w:sz w:val="16"/>
              </w:rPr>
              <w:t>Register</w:t>
            </w:r>
            <w:r>
              <w:rPr>
                <w:rFonts w:ascii="Arial" w:hAnsi="Arial"/>
                <w:b/>
                <w:color w:val="666666"/>
                <w:sz w:val="16"/>
              </w:rPr>
              <w:t xml:space="preserve">  →  </w:t>
            </w:r>
            <w:r>
              <w:rPr>
                <w:rFonts w:ascii="Arial" w:hAnsi="Arial"/>
                <w:b/>
                <w:color w:val="76213D"/>
                <w:sz w:val="16"/>
              </w:rPr>
              <w:t>Classify</w:t>
            </w:r>
            <w:r>
              <w:rPr>
                <w:rFonts w:ascii="Arial" w:hAnsi="Arial"/>
                <w:b/>
                <w:color w:val="666666"/>
                <w:sz w:val="16"/>
              </w:rPr>
              <w:t xml:space="preserve">  →  </w:t>
            </w:r>
            <w:r>
              <w:rPr>
                <w:rFonts w:ascii="Arial" w:hAnsi="Arial"/>
                <w:b w:val="0"/>
                <w:color w:val="2D2D2D"/>
                <w:sz w:val="16"/>
              </w:rPr>
              <w:t>Assign</w:t>
            </w:r>
            <w:r>
              <w:rPr>
                <w:rFonts w:ascii="Arial" w:hAnsi="Arial"/>
                <w:b/>
                <w:color w:val="666666"/>
                <w:sz w:val="16"/>
              </w:rPr>
              <w:t xml:space="preserve">  →  </w:t>
            </w:r>
            <w:r>
              <w:rPr>
                <w:rFonts w:ascii="Arial" w:hAnsi="Arial"/>
                <w:b/>
                <w:color w:val="76213D"/>
                <w:sz w:val="16"/>
              </w:rPr>
              <w:t>Respond</w:t>
            </w:r>
            <w:r>
              <w:rPr>
                <w:rFonts w:ascii="Arial" w:hAnsi="Arial"/>
                <w:b/>
                <w:color w:val="666666"/>
                <w:sz w:val="16"/>
              </w:rPr>
              <w:t xml:space="preserve">  →  </w:t>
            </w:r>
            <w:r>
              <w:rPr>
                <w:rFonts w:ascii="Arial" w:hAnsi="Arial"/>
                <w:b w:val="0"/>
                <w:color w:val="2D2D2D"/>
                <w:sz w:val="16"/>
              </w:rPr>
              <w:t>Close</w:t>
            </w:r>
          </w:p>
        </w:tc>
      </w:tr>
    </w:tbl>
    <w:p>
      <w:pPr>
        <w:spacing w:before="100" w:after="40" w:line="240" w:lineRule="auto"/>
      </w:pPr>
      <w:r>
        <w:rPr>
          <w:rFonts w:ascii="Arial" w:hAnsi="Arial"/>
          <w:b/>
          <w:color w:val="76213D"/>
          <w:sz w:val="21"/>
        </w:rPr>
        <w:t>Disclosure &amp; Accountability</w:t>
      </w:r>
    </w:p>
    <w:p>
      <w:pPr>
        <w:spacing w:before="0" w:after="40" w:line="240" w:lineRule="auto"/>
      </w:pPr>
      <w:r>
        <w:rPr>
          <w:rFonts w:ascii="Arial" w:hAnsi="Arial"/>
          <w:b/>
          <w:color w:val="76213D"/>
          <w:sz w:val="16"/>
        </w:rPr>
        <w:t xml:space="preserve">Public information. </w:t>
      </w:r>
      <w:r>
        <w:rPr>
          <w:rFonts w:ascii="Arial" w:hAnsi="Arial"/>
          <w:b w:val="0"/>
          <w:color w:val="2D2D2D"/>
          <w:sz w:val="16"/>
        </w:rPr>
        <w:t>Depending on project risk and applicable requirements, disclosure may include project descriptions, E&amp;S assessments and management plans, stakeholder plans, monitoring summaries and information on grievance channels. Personal, commercially sensitive, security-sensitive, legally protected and confidential safeguarding information is not publicly disclosed.</w:t>
      </w:r>
    </w:p>
    <w:p>
      <w:pPr>
        <w:spacing w:before="0" w:after="60" w:line="240" w:lineRule="auto"/>
      </w:pPr>
      <w:r>
        <w:rPr>
          <w:rFonts w:ascii="Arial" w:hAnsi="Arial"/>
          <w:b/>
          <w:color w:val="76213D"/>
          <w:sz w:val="16"/>
        </w:rPr>
        <w:t xml:space="preserve">Responsibility. </w:t>
      </w:r>
      <w:r>
        <w:rPr>
          <w:rFonts w:ascii="Arial" w:hAnsi="Arial"/>
          <w:b w:val="0"/>
          <w:color w:val="2D2D2D"/>
          <w:sz w:val="16"/>
        </w:rPr>
        <w:t>The E&amp;S Focal Point coordinates stakeholder and disclosure requirements; Project Managers integrate required actions into project planning and implementation; and relevant downstream partners are required to follow applicable engagement and disclosure requirements.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AF8F9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7" w:color="76213D"/>
              <w:left w:val="single" w:sz="7" w:color="76213D"/>
              <w:bottom w:val="single" w:sz="7" w:color="76213D"/>
              <w:right w:val="single" w:sz="7" w:color="76213D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color w:val="76213D"/>
                <w:sz w:val="18"/>
              </w:rPr>
              <w:t>About this summary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2D2D2D"/>
                <w:sz w:val="17"/>
              </w:rPr>
              <w:t>This document is a public summary of Amaar Group’s Stakeholder Engagement, Information Disclosure and External Communication Procedure. The full Procedure contains detailed planning, disclosure, consultation, communication and record-keeping requirements.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2D2D"/>
                <w:sz w:val="17"/>
              </w:rPr>
              <w:t xml:space="preserve">For E&amp;S information, comments or stakeholder enquiries, please contact: </w:t>
            </w:r>
            <w:r>
              <w:rPr>
                <w:rFonts w:ascii="Arial" w:hAnsi="Arial"/>
                <w:b/>
                <w:color w:val="76213D"/>
                <w:sz w:val="17"/>
              </w:rPr>
              <w:t>sustainability@amaar.ps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1008" w:bottom="792" w:left="1008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rial" w:hAnsi="Arial"/>
        <w:b w:val="0"/>
        <w:color w:val="666666"/>
        <w:sz w:val="14"/>
      </w:rPr>
      <w:t>Amaar Group | Stakeholder Engagement &amp; Information Disclosure – Public Summary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right"/>
    </w:pPr>
    <w:r>
      <w:rPr>
        <w:rFonts w:ascii="Arial" w:hAnsi="Arial"/>
        <w:b/>
        <w:color w:val="76213D"/>
        <w:sz w:val="16"/>
      </w:rPr>
      <w:t>AMAAR GROUP  |  SUSTAINABLE DEVELOPMENT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D2D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