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jc w:val="center"/>
      </w:pPr>
      <w:r>
        <w:rPr>
          <w:rFonts w:ascii="Arial" w:hAnsi="Arial"/>
          <w:b/>
          <w:color w:val="76213D"/>
          <w:sz w:val="20"/>
        </w:rPr>
        <w:t>AMAAR GROUP</w:t>
      </w:r>
    </w:p>
    <w:p>
      <w:pPr>
        <w:spacing w:before="0" w:after="20" w:line="240" w:lineRule="auto"/>
        <w:jc w:val="center"/>
      </w:pPr>
      <w:r>
        <w:rPr>
          <w:rFonts w:ascii="Arial" w:hAnsi="Arial"/>
          <w:b/>
          <w:color w:val="2D2D2D"/>
          <w:sz w:val="32"/>
        </w:rPr>
        <w:t>INDEPENDENT GRIEVANCE REDRESS MECHANISM</w:t>
      </w:r>
    </w:p>
    <w:p>
      <w:pPr>
        <w:spacing w:before="0" w:after="120" w:line="240" w:lineRule="auto"/>
        <w:jc w:val="center"/>
      </w:pPr>
      <w:r>
        <w:rPr>
          <w:rFonts w:ascii="Arial" w:hAnsi="Arial"/>
          <w:b/>
          <w:color w:val="76213D"/>
          <w:sz w:val="19"/>
        </w:rPr>
        <w:t>PUBLIC SUMMARY</w:t>
      </w:r>
    </w:p>
    <w:tbl>
      <w:tblPr>
        <w:tblW w:type="auto" w:w="0"/>
        <w:jc w:val="center"/>
        <w:tblLayout w:type="autofit"/>
        <w:tblLook w:firstColumn="1" w:firstRow="1" w:lastColumn="0" w:lastRow="0" w:noHBand="0" w:noVBand="1" w:val="04A0"/>
      </w:tblPr>
      <w:tblGrid>
        <w:gridCol w:w="10224"/>
      </w:tblGrid>
      <w:tr>
        <w:tc>
          <w:tcPr>
            <w:tcW w:type="dxa" w:w="10224"/>
            <w:shd w:fill="F5F1F3"/>
            <w:tcMar>
              <w:top w:w="80" w:type="dxa"/>
              <w:start w:w="100" w:type="dxa"/>
              <w:bottom w:w="80" w:type="dxa"/>
              <w:end w:w="100" w:type="dxa"/>
            </w:tcMar>
            <w:tcBorders>
              <w:top w:val="single" w:sz="8" w:color="76213D"/>
              <w:left w:val="single" w:sz="8" w:color="76213D"/>
              <w:bottom w:val="single" w:sz="8" w:color="76213D"/>
              <w:right w:val="single" w:sz="8" w:color="76213D"/>
            </w:tcBorders>
          </w:tcPr>
          <w:p>
            <w:pPr>
              <w:spacing w:before="0" w:after="0" w:line="240" w:lineRule="auto"/>
            </w:pPr>
            <w:r>
              <w:rPr>
                <w:rFonts w:ascii="Arial" w:hAnsi="Arial"/>
                <w:b/>
                <w:color w:val="76213D"/>
                <w:sz w:val="19"/>
              </w:rPr>
              <w:t xml:space="preserve">Our commitment. </w:t>
            </w:r>
            <w:r>
              <w:rPr>
                <w:rFonts w:ascii="Arial" w:hAnsi="Arial"/>
                <w:b w:val="0"/>
                <w:color w:val="2D2D2D"/>
                <w:sz w:val="19"/>
              </w:rPr>
              <w:t>Amaar Group’s Independent Grievance Redress Mechanism (GRM) provides individuals, communities, organizations and other third parties with an accessible, fair and predictable way to raise environmental and social concerns relating to relevant Amaar activities. Submitting a grievance is free and does not restrict access to other available remedies.</w:t>
            </w:r>
          </w:p>
        </w:tc>
      </w:tr>
    </w:tbl>
    <w:p>
      <w:pPr>
        <w:spacing w:before="100" w:after="40" w:line="240" w:lineRule="auto"/>
      </w:pPr>
      <w:r>
        <w:rPr>
          <w:rFonts w:ascii="Arial" w:hAnsi="Arial"/>
          <w:b/>
          <w:color w:val="76213D"/>
          <w:sz w:val="21"/>
        </w:rPr>
        <w:t>Core Principles</w:t>
      </w:r>
    </w:p>
    <w:tbl>
      <w:tblPr>
        <w:tblW w:type="auto" w:w="0"/>
        <w:jc w:val="center"/>
        <w:tblLayout w:type="fixed"/>
        <w:tblLook w:firstColumn="1" w:firstRow="1" w:lastColumn="0" w:lastRow="0" w:noHBand="0" w:noVBand="1" w:val="04A0"/>
      </w:tblPr>
      <w:tblGrid>
        <w:gridCol w:w="5112"/>
        <w:gridCol w:w="5112"/>
      </w:tblGrid>
      <w:tr>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Accessible</w:t>
            </w:r>
          </w:p>
          <w:p>
            <w:pPr>
              <w:spacing w:before="0" w:after="0" w:line="240" w:lineRule="auto"/>
            </w:pPr>
            <w:r>
              <w:rPr>
                <w:rFonts w:ascii="Arial" w:hAnsi="Arial"/>
                <w:b w:val="0"/>
                <w:color w:val="2D2D2D"/>
                <w:sz w:val="16"/>
              </w:rPr>
              <w:t>Complaints can be submitted through public channels without charge or legal representation, in Arabic or English, orally or in writing.</w:t>
            </w:r>
          </w:p>
        </w:tc>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Independent &amp; Fair</w:t>
            </w:r>
          </w:p>
          <w:p>
            <w:pPr>
              <w:spacing w:before="0" w:after="0" w:line="240" w:lineRule="auto"/>
            </w:pPr>
            <w:r>
              <w:rPr>
                <w:rFonts w:ascii="Arial" w:hAnsi="Arial"/>
                <w:b w:val="0"/>
                <w:color w:val="2D2D2D"/>
                <w:sz w:val="16"/>
              </w:rPr>
              <w:t>A person directly responsible for the activity or decision being challenged will not determine the grievance outcome.</w:t>
            </w:r>
          </w:p>
        </w:tc>
      </w:tr>
      <w:tr>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Confidential</w:t>
            </w:r>
          </w:p>
          <w:p>
            <w:pPr>
              <w:spacing w:before="0" w:after="0" w:line="240" w:lineRule="auto"/>
            </w:pPr>
            <w:r>
              <w:rPr>
                <w:rFonts w:ascii="Arial" w:hAnsi="Arial"/>
                <w:b w:val="0"/>
                <w:color w:val="2D2D2D"/>
                <w:sz w:val="16"/>
              </w:rPr>
              <w:t>Complainants may request confidentiality. Anonymous complaints are accepted where sufficient information is available to assess the concern.</w:t>
            </w:r>
          </w:p>
        </w:tc>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No Retaliation</w:t>
            </w:r>
          </w:p>
          <w:p>
            <w:pPr>
              <w:spacing w:before="0" w:after="0" w:line="240" w:lineRule="auto"/>
            </w:pPr>
            <w:r>
              <w:rPr>
                <w:rFonts w:ascii="Arial" w:hAnsi="Arial"/>
                <w:b w:val="0"/>
                <w:color w:val="2D2D2D"/>
                <w:sz w:val="16"/>
              </w:rPr>
              <w:t>Retaliation against any person or organization for submitting or participating in a grievance in good faith is prohibited.</w:t>
            </w:r>
          </w:p>
        </w:tc>
      </w:tr>
    </w:tbl>
    <w:p>
      <w:pPr>
        <w:spacing w:before="100" w:after="40" w:line="240" w:lineRule="auto"/>
      </w:pPr>
      <w:r>
        <w:rPr>
          <w:rFonts w:ascii="Arial" w:hAnsi="Arial"/>
          <w:b/>
          <w:color w:val="76213D"/>
          <w:sz w:val="21"/>
        </w:rPr>
        <w:t>What Can Be Raised</w:t>
      </w:r>
    </w:p>
    <w:p>
      <w:pPr>
        <w:spacing w:before="0" w:after="40" w:line="240" w:lineRule="auto"/>
      </w:pPr>
      <w:r>
        <w:rPr>
          <w:rFonts w:ascii="Arial" w:hAnsi="Arial"/>
          <w:b/>
          <w:color w:val="76213D"/>
          <w:sz w:val="17"/>
        </w:rPr>
        <w:t xml:space="preserve">The GRM can address </w:t>
      </w:r>
      <w:r>
        <w:rPr>
          <w:rFonts w:ascii="Arial" w:hAnsi="Arial"/>
          <w:b w:val="0"/>
          <w:color w:val="2D2D2D"/>
          <w:sz w:val="17"/>
        </w:rPr>
        <w:t>actual or potential environmental or social harm, including pollution, community health and safety, land or livelihood impacts, biodiversity and natural resources, cultural heritage, stakeholder engagement and disclosure, gender-related impacts, or non-compliance with applicable E&amp;S requirements.</w:t>
      </w:r>
    </w:p>
    <w:p>
      <w:pPr>
        <w:spacing w:before="100" w:after="40" w:line="240" w:lineRule="auto"/>
      </w:pPr>
      <w:r>
        <w:rPr>
          <w:rFonts w:ascii="Arial" w:hAnsi="Arial"/>
          <w:b/>
          <w:color w:val="76213D"/>
          <w:sz w:val="21"/>
        </w:rPr>
        <w:t>How the GRM Works</w:t>
      </w:r>
    </w:p>
    <w:tbl>
      <w:tblPr>
        <w:tblW w:type="auto" w:w="0"/>
        <w:jc w:val="center"/>
        <w:tblLook w:firstColumn="1" w:firstRow="1" w:lastColumn="0" w:lastRow="0" w:noHBand="0" w:noVBand="1" w:val="04A0"/>
      </w:tblPr>
      <w:tblGrid>
        <w:gridCol w:w="10224"/>
      </w:tblGrid>
      <w:tr>
        <w:tc>
          <w:tcPr>
            <w:tcW w:type="dxa" w:w="10224"/>
            <w:shd w:fill="F8F5F6"/>
            <w:tcMar>
              <w:top w:w="70" w:type="dxa"/>
              <w:start w:w="90" w:type="dxa"/>
              <w:bottom w:w="70" w:type="dxa"/>
              <w:end w:w="90" w:type="dxa"/>
            </w:tcMar>
            <w:tcBorders>
              <w:top w:val="single" w:sz="5" w:color="CFC7CB"/>
              <w:left w:val="single" w:sz="5" w:color="CFC7CB"/>
              <w:bottom w:val="single" w:sz="5" w:color="CFC7CB"/>
              <w:right w:val="single" w:sz="5" w:color="CFC7CB"/>
            </w:tcBorders>
          </w:tcPr>
          <w:p>
            <w:pPr>
              <w:spacing w:before="0" w:after="0" w:line="240" w:lineRule="auto"/>
              <w:jc w:val="center"/>
            </w:pPr>
            <w:r>
              <w:rPr>
                <w:rFonts w:ascii="Arial" w:hAnsi="Arial"/>
                <w:b/>
                <w:color w:val="76213D"/>
                <w:sz w:val="15"/>
              </w:rPr>
              <w:t>Register ≤2 days</w:t>
            </w:r>
            <w:r>
              <w:rPr>
                <w:rFonts w:ascii="Arial" w:hAnsi="Arial"/>
                <w:b/>
                <w:color w:val="666666"/>
                <w:sz w:val="15"/>
              </w:rPr>
              <w:t xml:space="preserve">  →  </w:t>
            </w:r>
            <w:r>
              <w:rPr>
                <w:rFonts w:ascii="Arial" w:hAnsi="Arial"/>
                <w:b w:val="0"/>
                <w:color w:val="2D2D2D"/>
                <w:sz w:val="15"/>
              </w:rPr>
              <w:t>Acknowledge ≤5 days</w:t>
            </w:r>
            <w:r>
              <w:rPr>
                <w:rFonts w:ascii="Arial" w:hAnsi="Arial"/>
                <w:b/>
                <w:color w:val="666666"/>
                <w:sz w:val="15"/>
              </w:rPr>
              <w:t xml:space="preserve">  →  </w:t>
            </w:r>
            <w:r>
              <w:rPr>
                <w:rFonts w:ascii="Arial" w:hAnsi="Arial"/>
                <w:b/>
                <w:color w:val="76213D"/>
                <w:sz w:val="15"/>
              </w:rPr>
              <w:t>Eligibility ≤10 days</w:t>
            </w:r>
            <w:r>
              <w:rPr>
                <w:rFonts w:ascii="Arial" w:hAnsi="Arial"/>
                <w:b/>
                <w:color w:val="666666"/>
                <w:sz w:val="15"/>
              </w:rPr>
              <w:t xml:space="preserve">  →  </w:t>
            </w:r>
            <w:r>
              <w:rPr>
                <w:rFonts w:ascii="Arial" w:hAnsi="Arial"/>
                <w:b w:val="0"/>
                <w:color w:val="2D2D2D"/>
                <w:sz w:val="15"/>
              </w:rPr>
              <w:t>Assessment normally ≤30 days</w:t>
            </w:r>
            <w:r>
              <w:rPr>
                <w:rFonts w:ascii="Arial" w:hAnsi="Arial"/>
                <w:b/>
                <w:color w:val="666666"/>
                <w:sz w:val="15"/>
              </w:rPr>
              <w:t xml:space="preserve">  →  </w:t>
            </w:r>
            <w:r>
              <w:rPr>
                <w:rFonts w:ascii="Arial" w:hAnsi="Arial"/>
                <w:b/>
                <w:color w:val="76213D"/>
                <w:sz w:val="15"/>
              </w:rPr>
              <w:t>Resolution</w:t>
            </w:r>
            <w:r>
              <w:rPr>
                <w:rFonts w:ascii="Arial" w:hAnsi="Arial"/>
                <w:b/>
                <w:color w:val="666666"/>
                <w:sz w:val="15"/>
              </w:rPr>
              <w:t xml:space="preserve">  →  </w:t>
            </w:r>
            <w:r>
              <w:rPr>
                <w:rFonts w:ascii="Arial" w:hAnsi="Arial"/>
                <w:b w:val="0"/>
                <w:color w:val="2D2D2D"/>
                <w:sz w:val="15"/>
              </w:rPr>
              <w:t>Implementation</w:t>
            </w:r>
            <w:r>
              <w:rPr>
                <w:rFonts w:ascii="Arial" w:hAnsi="Arial"/>
                <w:b/>
                <w:color w:val="666666"/>
                <w:sz w:val="15"/>
              </w:rPr>
              <w:t xml:space="preserve">  →  </w:t>
            </w:r>
            <w:r>
              <w:rPr>
                <w:rFonts w:ascii="Arial" w:hAnsi="Arial"/>
                <w:b/>
                <w:color w:val="76213D"/>
                <w:sz w:val="15"/>
              </w:rPr>
              <w:t>Closure</w:t>
            </w:r>
          </w:p>
        </w:tc>
      </w:tr>
    </w:tbl>
    <w:p>
      <w:pPr>
        <w:spacing w:before="0" w:after="40" w:line="240" w:lineRule="auto"/>
      </w:pPr>
      <w:r>
        <w:rPr>
          <w:rFonts w:ascii="Arial" w:hAnsi="Arial"/>
          <w:b/>
          <w:color w:val="76213D"/>
          <w:sz w:val="16"/>
        </w:rPr>
        <w:t xml:space="preserve">Review. </w:t>
      </w:r>
      <w:r>
        <w:rPr>
          <w:rFonts w:ascii="Arial" w:hAnsi="Arial"/>
          <w:b w:val="0"/>
          <w:color w:val="2D2D2D"/>
          <w:sz w:val="16"/>
        </w:rPr>
        <w:t>A complainant dissatisfied with the outcome may request a review within 20 business days. The review is undertaken independently from the original decision and is normally communicated within 30 business days.</w:t>
      </w:r>
    </w:p>
    <w:p>
      <w:pPr>
        <w:spacing w:before="0" w:after="60" w:line="240" w:lineRule="auto"/>
      </w:pPr>
      <w:r>
        <w:rPr>
          <w:rFonts w:ascii="Arial" w:hAnsi="Arial"/>
          <w:b/>
          <w:color w:val="76213D"/>
          <w:sz w:val="16"/>
        </w:rPr>
        <w:t xml:space="preserve">Special referrals. </w:t>
      </w:r>
      <w:r>
        <w:rPr>
          <w:rFonts w:ascii="Arial" w:hAnsi="Arial"/>
          <w:b w:val="0"/>
          <w:color w:val="2D2D2D"/>
          <w:sz w:val="16"/>
        </w:rPr>
        <w:t>Employment matters, procurement disputes, fraud/corruption concerns and SEAH disclosures may be referred to the appropriate specialized mechanism. SEAH cases follow a separate confidential, survivor-centred pathway.</w:t>
      </w:r>
    </w:p>
    <w:tbl>
      <w:tblPr>
        <w:tblW w:type="auto" w:w="0"/>
        <w:jc w:val="center"/>
        <w:tblLook w:firstColumn="1" w:firstRow="1" w:lastColumn="0" w:lastRow="0" w:noHBand="0" w:noVBand="1" w:val="04A0"/>
      </w:tblPr>
      <w:tblGrid>
        <w:gridCol w:w="10224"/>
      </w:tblGrid>
      <w:tr>
        <w:tc>
          <w:tcPr>
            <w:tcW w:type="dxa" w:w="10224"/>
            <w:shd w:fill="FAF8F9"/>
            <w:tcMar>
              <w:top w:w="75" w:type="dxa"/>
              <w:start w:w="90" w:type="dxa"/>
              <w:bottom w:w="75" w:type="dxa"/>
              <w:end w:w="90" w:type="dxa"/>
            </w:tcMar>
            <w:tcBorders>
              <w:top w:val="single" w:sz="7" w:color="76213D"/>
              <w:left w:val="single" w:sz="7" w:color="76213D"/>
              <w:bottom w:val="single" w:sz="7" w:color="76213D"/>
              <w:right w:val="single" w:sz="7" w:color="76213D"/>
            </w:tcBorders>
          </w:tcPr>
          <w:p>
            <w:pPr>
              <w:spacing w:before="0" w:after="20" w:line="240" w:lineRule="auto"/>
            </w:pPr>
            <w:r>
              <w:rPr>
                <w:rFonts w:ascii="Arial" w:hAnsi="Arial"/>
                <w:b/>
                <w:color w:val="76213D"/>
                <w:sz w:val="18"/>
              </w:rPr>
              <w:t>Submit a grievance</w:t>
            </w:r>
          </w:p>
          <w:p>
            <w:pPr>
              <w:spacing w:before="0" w:after="20" w:line="240" w:lineRule="auto"/>
            </w:pPr>
            <w:r>
              <w:rPr>
                <w:rFonts w:ascii="Arial" w:hAnsi="Arial"/>
                <w:b w:val="0"/>
                <w:color w:val="2D2D2D"/>
                <w:sz w:val="17"/>
              </w:rPr>
              <w:t>A grievance may be submitted through the Amaar website grievance form or by email. No mandatory complaint format is required, and supporting evidence is helpful but is not a condition for submitting a concern.</w:t>
            </w:r>
          </w:p>
          <w:p>
            <w:pPr>
              <w:spacing w:before="0" w:after="0" w:line="240" w:lineRule="auto"/>
            </w:pPr>
            <w:r>
              <w:rPr>
                <w:rFonts w:ascii="Arial" w:hAnsi="Arial"/>
                <w:b w:val="0"/>
                <w:color w:val="2D2D2D"/>
                <w:sz w:val="17"/>
              </w:rPr>
              <w:t xml:space="preserve">GRM contact: </w:t>
            </w:r>
            <w:r>
              <w:rPr>
                <w:rFonts w:ascii="Arial" w:hAnsi="Arial"/>
                <w:b/>
                <w:color w:val="76213D"/>
                <w:sz w:val="17"/>
              </w:rPr>
              <w:t>grm@amaar.ps</w:t>
            </w:r>
          </w:p>
        </w:tc>
      </w:tr>
    </w:tbl>
    <w:sectPr w:rsidR="00FC693F" w:rsidRPr="0006063C" w:rsidSect="00034616">
      <w:headerReference w:type="default" r:id="rId9"/>
      <w:footerReference w:type="default" r:id="rId10"/>
      <w:pgSz w:w="12240" w:h="15840"/>
      <w:pgMar w:top="792" w:right="1008" w:bottom="792" w:left="1008"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rial" w:hAnsi="Arial"/>
        <w:b w:val="0"/>
        <w:color w:val="666666"/>
        <w:sz w:val="14"/>
      </w:rPr>
      <w:t>Amaar Group | Independent Grievance Redress Mechanism – Public Summary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right"/>
    </w:pPr>
    <w:r>
      <w:rPr>
        <w:rFonts w:ascii="Arial" w:hAnsi="Arial"/>
        <w:b/>
        <w:color w:val="76213D"/>
        <w:sz w:val="16"/>
      </w:rPr>
      <w:t>AMAAR GROUP  |  SUSTAINABLE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2D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