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line="240" w:lineRule="auto"/>
        <w:jc w:val="center"/>
      </w:pPr>
      <w:r>
        <w:rPr>
          <w:rFonts w:ascii="Arial" w:hAnsi="Arial"/>
          <w:b/>
          <w:color w:val="76213D"/>
          <w:sz w:val="20"/>
        </w:rPr>
        <w:t>AMAAR GROUP</w:t>
      </w:r>
    </w:p>
    <w:p>
      <w:pPr>
        <w:spacing w:before="0" w:after="20" w:line="240" w:lineRule="auto"/>
        <w:jc w:val="center"/>
      </w:pPr>
      <w:r>
        <w:rPr>
          <w:rFonts w:ascii="Arial" w:hAnsi="Arial"/>
          <w:b/>
          <w:color w:val="2D2D2D"/>
          <w:sz w:val="32"/>
        </w:rPr>
        <w:t>INVESTIGATION FUNCTION</w:t>
      </w:r>
    </w:p>
    <w:p>
      <w:pPr>
        <w:spacing w:before="0" w:after="120" w:line="240" w:lineRule="auto"/>
        <w:jc w:val="center"/>
      </w:pPr>
      <w:r>
        <w:rPr>
          <w:rFonts w:ascii="Arial" w:hAnsi="Arial"/>
          <w:b/>
          <w:color w:val="76213D"/>
          <w:sz w:val="19"/>
        </w:rPr>
        <w:t>PUBLIC SUMMARY</w:t>
      </w:r>
    </w:p>
    <w:tbl>
      <w:tblPr>
        <w:tblW w:type="auto" w:w="0"/>
        <w:jc w:val="center"/>
        <w:tblLayout w:type="autofit"/>
        <w:tblLook w:firstColumn="1" w:firstRow="1" w:lastColumn="0" w:lastRow="0" w:noHBand="0" w:noVBand="1" w:val="04A0"/>
      </w:tblPr>
      <w:tblGrid>
        <w:gridCol w:w="10224"/>
      </w:tblGrid>
      <w:tr>
        <w:tc>
          <w:tcPr>
            <w:tcW w:type="dxa" w:w="10224"/>
            <w:shd w:fill="F5F1F3"/>
            <w:tcMar>
              <w:top w:w="80" w:type="dxa"/>
              <w:start w:w="100" w:type="dxa"/>
              <w:bottom w:w="80" w:type="dxa"/>
              <w:end w:w="100" w:type="dxa"/>
            </w:tcMar>
            <w:tcBorders>
              <w:top w:val="single" w:sz="8" w:color="76213D"/>
              <w:left w:val="single" w:sz="8" w:color="76213D"/>
              <w:bottom w:val="single" w:sz="8" w:color="76213D"/>
              <w:right w:val="single" w:sz="8" w:color="76213D"/>
            </w:tcBorders>
          </w:tcPr>
          <w:p>
            <w:pPr>
              <w:spacing w:before="0" w:after="0" w:line="240" w:lineRule="auto"/>
            </w:pPr>
            <w:r>
              <w:rPr>
                <w:rFonts w:ascii="Arial" w:hAnsi="Arial"/>
                <w:b/>
                <w:color w:val="76213D"/>
                <w:sz w:val="19"/>
              </w:rPr>
              <w:t xml:space="preserve">Purpose. </w:t>
            </w:r>
            <w:r>
              <w:rPr>
                <w:rFonts w:ascii="Arial" w:hAnsi="Arial"/>
                <w:b w:val="0"/>
                <w:color w:val="2D2D2D"/>
                <w:sz w:val="19"/>
              </w:rPr>
              <w:t>Amaar Group maintains investigation arrangements to assess credible allegations of wrongdoing fairly, independently and proportionately. The objective is to establish relevant facts, protect the integrity of the process, support appropriate corrective action and strengthen institutional learning.</w:t>
            </w:r>
          </w:p>
        </w:tc>
      </w:tr>
    </w:tbl>
    <w:p>
      <w:pPr>
        <w:spacing w:before="100" w:after="40" w:line="240" w:lineRule="auto"/>
      </w:pPr>
      <w:r>
        <w:rPr>
          <w:rFonts w:ascii="Arial" w:hAnsi="Arial"/>
          <w:b/>
          <w:color w:val="76213D"/>
          <w:sz w:val="21"/>
        </w:rPr>
        <w:t>Core Investigation Principles</w:t>
      </w:r>
    </w:p>
    <w:tbl>
      <w:tblPr>
        <w:tblW w:type="auto" w:w="0"/>
        <w:jc w:val="center"/>
        <w:tblLayout w:type="fixed"/>
        <w:tblLook w:firstColumn="1" w:firstRow="1" w:lastColumn="0" w:lastRow="0" w:noHBand="0" w:noVBand="1" w:val="04A0"/>
      </w:tblPr>
      <w:tblGrid>
        <w:gridCol w:w="5112"/>
        <w:gridCol w:w="5112"/>
      </w:tblGrid>
      <w:tr>
        <w:tc>
          <w:tcPr>
            <w:tcW w:type="dxa" w:w="5112"/>
            <w:vAlign w:val="top"/>
            <w:tcMar>
              <w:top w:w="65" w:type="dxa"/>
              <w:start w:w="75" w:type="dxa"/>
              <w:bottom w:w="65" w:type="dxa"/>
              <w:end w:w="75" w:type="dxa"/>
            </w:tcMar>
            <w:tcBorders>
              <w:top w:val="single" w:sz="4" w:color="CFC7CB"/>
              <w:left w:val="single" w:sz="4" w:color="CFC7CB"/>
              <w:bottom w:val="single" w:sz="4" w:color="CFC7CB"/>
              <w:right w:val="single" w:sz="4" w:color="CFC7CB"/>
            </w:tcBorders>
          </w:tcPr>
          <w:p>
            <w:pPr>
              <w:spacing w:before="0" w:after="20" w:line="240" w:lineRule="auto"/>
            </w:pPr>
            <w:r>
              <w:rPr>
                <w:rFonts w:ascii="Arial" w:hAnsi="Arial"/>
                <w:b/>
                <w:color w:val="76213D"/>
                <w:sz w:val="18"/>
              </w:rPr>
              <w:t>Independence &amp; Objectivity</w:t>
            </w:r>
          </w:p>
          <w:p>
            <w:pPr>
              <w:spacing w:before="0" w:after="0" w:line="240" w:lineRule="auto"/>
            </w:pPr>
            <w:r>
              <w:rPr>
                <w:rFonts w:ascii="Arial" w:hAnsi="Arial"/>
                <w:b w:val="0"/>
                <w:color w:val="2D2D2D"/>
                <w:sz w:val="16"/>
              </w:rPr>
              <w:t>Conflicts of interest are considered before an investigation proceeds, and the investigation should be sufficiently independent from the matter under review.</w:t>
            </w:r>
          </w:p>
        </w:tc>
        <w:tc>
          <w:tcPr>
            <w:tcW w:type="dxa" w:w="5112"/>
            <w:vAlign w:val="top"/>
            <w:tcMar>
              <w:top w:w="65" w:type="dxa"/>
              <w:start w:w="75" w:type="dxa"/>
              <w:bottom w:w="65" w:type="dxa"/>
              <w:end w:w="75" w:type="dxa"/>
            </w:tcMar>
            <w:tcBorders>
              <w:top w:val="single" w:sz="4" w:color="CFC7CB"/>
              <w:left w:val="single" w:sz="4" w:color="CFC7CB"/>
              <w:bottom w:val="single" w:sz="4" w:color="CFC7CB"/>
              <w:right w:val="single" w:sz="4" w:color="CFC7CB"/>
            </w:tcBorders>
          </w:tcPr>
          <w:p>
            <w:pPr>
              <w:spacing w:before="0" w:after="20" w:line="240" w:lineRule="auto"/>
            </w:pPr>
            <w:r>
              <w:rPr>
                <w:rFonts w:ascii="Arial" w:hAnsi="Arial"/>
                <w:b/>
                <w:color w:val="76213D"/>
                <w:sz w:val="18"/>
              </w:rPr>
              <w:t>Confidentiality</w:t>
            </w:r>
          </w:p>
          <w:p>
            <w:pPr>
              <w:spacing w:before="0" w:after="0" w:line="240" w:lineRule="auto"/>
            </w:pPr>
            <w:r>
              <w:rPr>
                <w:rFonts w:ascii="Arial" w:hAnsi="Arial"/>
                <w:b w:val="0"/>
                <w:color w:val="2D2D2D"/>
                <w:sz w:val="16"/>
              </w:rPr>
              <w:t>Case information is restricted to those who need it for assessment, investigation, oversight or legal requirements.</w:t>
            </w:r>
          </w:p>
        </w:tc>
      </w:tr>
      <w:tr>
        <w:tc>
          <w:tcPr>
            <w:tcW w:type="dxa" w:w="5112"/>
            <w:vAlign w:val="top"/>
            <w:tcMar>
              <w:top w:w="65" w:type="dxa"/>
              <w:start w:w="75" w:type="dxa"/>
              <w:bottom w:w="65" w:type="dxa"/>
              <w:end w:w="75" w:type="dxa"/>
            </w:tcMar>
            <w:tcBorders>
              <w:top w:val="single" w:sz="4" w:color="CFC7CB"/>
              <w:left w:val="single" w:sz="4" w:color="CFC7CB"/>
              <w:bottom w:val="single" w:sz="4" w:color="CFC7CB"/>
              <w:right w:val="single" w:sz="4" w:color="CFC7CB"/>
            </w:tcBorders>
          </w:tcPr>
          <w:p>
            <w:pPr>
              <w:spacing w:before="0" w:after="20" w:line="240" w:lineRule="auto"/>
            </w:pPr>
            <w:r>
              <w:rPr>
                <w:rFonts w:ascii="Arial" w:hAnsi="Arial"/>
                <w:b/>
                <w:color w:val="76213D"/>
                <w:sz w:val="18"/>
              </w:rPr>
              <w:t>Fairness &amp; Due Process</w:t>
            </w:r>
          </w:p>
          <w:p>
            <w:pPr>
              <w:spacing w:before="0" w:after="0" w:line="240" w:lineRule="auto"/>
            </w:pPr>
            <w:r>
              <w:rPr>
                <w:rFonts w:ascii="Arial" w:hAnsi="Arial"/>
                <w:b w:val="0"/>
                <w:color w:val="2D2D2D"/>
                <w:sz w:val="16"/>
              </w:rPr>
              <w:t>Relevant parties are treated fairly and the rights of reporters, witnesses and subjects of allegations are respected.</w:t>
            </w:r>
          </w:p>
        </w:tc>
        <w:tc>
          <w:tcPr>
            <w:tcW w:type="dxa" w:w="5112"/>
            <w:vAlign w:val="top"/>
            <w:tcMar>
              <w:top w:w="65" w:type="dxa"/>
              <w:start w:w="75" w:type="dxa"/>
              <w:bottom w:w="65" w:type="dxa"/>
              <w:end w:w="75" w:type="dxa"/>
            </w:tcMar>
            <w:tcBorders>
              <w:top w:val="single" w:sz="4" w:color="CFC7CB"/>
              <w:left w:val="single" w:sz="4" w:color="CFC7CB"/>
              <w:bottom w:val="single" w:sz="4" w:color="CFC7CB"/>
              <w:right w:val="single" w:sz="4" w:color="CFC7CB"/>
            </w:tcBorders>
          </w:tcPr>
          <w:p>
            <w:pPr>
              <w:spacing w:before="0" w:after="20" w:line="240" w:lineRule="auto"/>
            </w:pPr>
            <w:r>
              <w:rPr>
                <w:rFonts w:ascii="Arial" w:hAnsi="Arial"/>
                <w:b/>
                <w:color w:val="76213D"/>
                <w:sz w:val="18"/>
              </w:rPr>
              <w:t>Proportionality</w:t>
            </w:r>
          </w:p>
          <w:p>
            <w:pPr>
              <w:spacing w:before="0" w:after="0" w:line="240" w:lineRule="auto"/>
            </w:pPr>
            <w:r>
              <w:rPr>
                <w:rFonts w:ascii="Arial" w:hAnsi="Arial"/>
                <w:b w:val="0"/>
                <w:color w:val="2D2D2D"/>
                <w:sz w:val="16"/>
              </w:rPr>
              <w:t>The scope and method of investigation reflect the seriousness, credibility, complexity and potential impact of the allegation.</w:t>
            </w:r>
          </w:p>
        </w:tc>
      </w:tr>
    </w:tbl>
    <w:p>
      <w:pPr>
        <w:spacing w:before="100" w:after="40" w:line="240" w:lineRule="auto"/>
      </w:pPr>
      <w:r>
        <w:rPr>
          <w:rFonts w:ascii="Arial" w:hAnsi="Arial"/>
          <w:b/>
          <w:color w:val="76213D"/>
          <w:sz w:val="21"/>
        </w:rPr>
        <w:t>How a Report Is Handled</w:t>
      </w:r>
    </w:p>
    <w:tbl>
      <w:tblPr>
        <w:tblW w:type="auto" w:w="0"/>
        <w:jc w:val="center"/>
        <w:tblLook w:firstColumn="1" w:firstRow="1" w:lastColumn="0" w:lastRow="0" w:noHBand="0" w:noVBand="1" w:val="04A0"/>
      </w:tblPr>
      <w:tblGrid>
        <w:gridCol w:w="10224"/>
      </w:tblGrid>
      <w:tr>
        <w:tc>
          <w:tcPr>
            <w:tcW w:type="dxa" w:w="10224"/>
            <w:shd w:fill="F8F5F6"/>
            <w:tcMar>
              <w:top w:w="70" w:type="dxa"/>
              <w:start w:w="90" w:type="dxa"/>
              <w:bottom w:w="70" w:type="dxa"/>
              <w:end w:w="90" w:type="dxa"/>
            </w:tcMar>
            <w:tcBorders>
              <w:top w:val="single" w:sz="5" w:color="CFC7CB"/>
              <w:left w:val="single" w:sz="5" w:color="CFC7CB"/>
              <w:bottom w:val="single" w:sz="5" w:color="CFC7CB"/>
              <w:right w:val="single" w:sz="5" w:color="CFC7CB"/>
            </w:tcBorders>
          </w:tcPr>
          <w:p>
            <w:pPr>
              <w:spacing w:before="0" w:after="0" w:line="240" w:lineRule="auto"/>
              <w:jc w:val="center"/>
            </w:pPr>
            <w:r>
              <w:rPr>
                <w:rFonts w:ascii="Arial" w:hAnsi="Arial"/>
                <w:b/>
                <w:color w:val="76213D"/>
                <w:sz w:val="15"/>
              </w:rPr>
              <w:t>Secure Receipt</w:t>
            </w:r>
            <w:r>
              <w:rPr>
                <w:rFonts w:ascii="Arial" w:hAnsi="Arial"/>
                <w:b/>
                <w:color w:val="666666"/>
                <w:sz w:val="15"/>
              </w:rPr>
              <w:t xml:space="preserve">  →  </w:t>
            </w:r>
            <w:r>
              <w:rPr>
                <w:rFonts w:ascii="Arial" w:hAnsi="Arial"/>
                <w:b w:val="0"/>
                <w:color w:val="2D2D2D"/>
                <w:sz w:val="15"/>
              </w:rPr>
              <w:t>Conflict Check</w:t>
            </w:r>
            <w:r>
              <w:rPr>
                <w:rFonts w:ascii="Arial" w:hAnsi="Arial"/>
                <w:b/>
                <w:color w:val="666666"/>
                <w:sz w:val="15"/>
              </w:rPr>
              <w:t xml:space="preserve">  →  </w:t>
            </w:r>
            <w:r>
              <w:rPr>
                <w:rFonts w:ascii="Arial" w:hAnsi="Arial"/>
                <w:b/>
                <w:color w:val="76213D"/>
                <w:sz w:val="15"/>
              </w:rPr>
              <w:t>Preliminary Assessment</w:t>
            </w:r>
            <w:r>
              <w:rPr>
                <w:rFonts w:ascii="Arial" w:hAnsi="Arial"/>
                <w:b/>
                <w:color w:val="666666"/>
                <w:sz w:val="15"/>
              </w:rPr>
              <w:t xml:space="preserve">  →  </w:t>
            </w:r>
            <w:r>
              <w:rPr>
                <w:rFonts w:ascii="Arial" w:hAnsi="Arial"/>
                <w:b w:val="0"/>
                <w:color w:val="2D2D2D"/>
                <w:sz w:val="15"/>
              </w:rPr>
              <w:t>Investigation if Required</w:t>
            </w:r>
            <w:r>
              <w:rPr>
                <w:rFonts w:ascii="Arial" w:hAnsi="Arial"/>
                <w:b/>
                <w:color w:val="666666"/>
                <w:sz w:val="15"/>
              </w:rPr>
              <w:t xml:space="preserve">  →  </w:t>
            </w:r>
            <w:r>
              <w:rPr>
                <w:rFonts w:ascii="Arial" w:hAnsi="Arial"/>
                <w:b/>
                <w:color w:val="76213D"/>
                <w:sz w:val="15"/>
              </w:rPr>
              <w:t>Findings</w:t>
            </w:r>
            <w:r>
              <w:rPr>
                <w:rFonts w:ascii="Arial" w:hAnsi="Arial"/>
                <w:b/>
                <w:color w:val="666666"/>
                <w:sz w:val="15"/>
              </w:rPr>
              <w:t xml:space="preserve">  →  </w:t>
            </w:r>
            <w:r>
              <w:rPr>
                <w:rFonts w:ascii="Arial" w:hAnsi="Arial"/>
                <w:b w:val="0"/>
                <w:color w:val="2D2D2D"/>
                <w:sz w:val="15"/>
              </w:rPr>
              <w:t>Corrective Action</w:t>
            </w:r>
            <w:r>
              <w:rPr>
                <w:rFonts w:ascii="Arial" w:hAnsi="Arial"/>
                <w:b/>
                <w:color w:val="666666"/>
                <w:sz w:val="15"/>
              </w:rPr>
              <w:t xml:space="preserve">  →  </w:t>
            </w:r>
            <w:r>
              <w:rPr>
                <w:rFonts w:ascii="Arial" w:hAnsi="Arial"/>
                <w:b/>
                <w:color w:val="76213D"/>
                <w:sz w:val="15"/>
              </w:rPr>
              <w:t>Closure</w:t>
            </w:r>
          </w:p>
        </w:tc>
      </w:tr>
    </w:tbl>
    <w:p>
      <w:pPr>
        <w:spacing w:before="100" w:after="40" w:line="240" w:lineRule="auto"/>
      </w:pPr>
      <w:r>
        <w:rPr>
          <w:rFonts w:ascii="Arial" w:hAnsi="Arial"/>
          <w:b/>
          <w:color w:val="76213D"/>
          <w:sz w:val="21"/>
        </w:rPr>
        <w:t>What the Investigation May Involve</w:t>
      </w:r>
    </w:p>
    <w:p>
      <w:pPr>
        <w:spacing w:before="0" w:after="24" w:line="240" w:lineRule="auto"/>
        <w:ind w:left="72" w:hanging="14"/>
      </w:pPr>
      <w:r>
        <w:rPr>
          <w:rFonts w:ascii="Arial" w:hAnsi="Arial"/>
          <w:b/>
          <w:color w:val="76213D"/>
          <w:sz w:val="17"/>
        </w:rPr>
        <w:t xml:space="preserve">• </w:t>
      </w:r>
      <w:r>
        <w:rPr>
          <w:rFonts w:ascii="Arial" w:hAnsi="Arial"/>
          <w:b w:val="0"/>
          <w:color w:val="2D2D2D"/>
          <w:sz w:val="17"/>
        </w:rPr>
        <w:t>Reviewing relevant records, documents, communications and other available information.</w:t>
      </w:r>
    </w:p>
    <w:p>
      <w:pPr>
        <w:spacing w:before="0" w:after="24" w:line="240" w:lineRule="auto"/>
        <w:ind w:left="72" w:hanging="14"/>
      </w:pPr>
      <w:r>
        <w:rPr>
          <w:rFonts w:ascii="Arial" w:hAnsi="Arial"/>
          <w:b/>
          <w:color w:val="76213D"/>
          <w:sz w:val="17"/>
        </w:rPr>
        <w:t xml:space="preserve">• </w:t>
      </w:r>
      <w:r>
        <w:rPr>
          <w:rFonts w:ascii="Arial" w:hAnsi="Arial"/>
          <w:b w:val="0"/>
          <w:color w:val="2D2D2D"/>
          <w:sz w:val="17"/>
        </w:rPr>
        <w:t>Obtaining information from relevant persons and witnesses while protecting confidentiality as appropriate.</w:t>
      </w:r>
    </w:p>
    <w:p>
      <w:pPr>
        <w:spacing w:before="0" w:after="24" w:line="240" w:lineRule="auto"/>
        <w:ind w:left="72" w:hanging="14"/>
      </w:pPr>
      <w:r>
        <w:rPr>
          <w:rFonts w:ascii="Arial" w:hAnsi="Arial"/>
          <w:b/>
          <w:color w:val="76213D"/>
          <w:sz w:val="17"/>
        </w:rPr>
        <w:t xml:space="preserve">• </w:t>
      </w:r>
      <w:r>
        <w:rPr>
          <w:rFonts w:ascii="Arial" w:hAnsi="Arial"/>
          <w:b w:val="0"/>
          <w:color w:val="2D2D2D"/>
          <w:sz w:val="17"/>
        </w:rPr>
        <w:t>Using suitably independent internal personnel or specialist external support where the nature of the case requires additional expertise or independence.</w:t>
      </w:r>
    </w:p>
    <w:p>
      <w:pPr>
        <w:spacing w:before="0" w:after="24" w:line="240" w:lineRule="auto"/>
        <w:ind w:left="72" w:hanging="14"/>
      </w:pPr>
      <w:r>
        <w:rPr>
          <w:rFonts w:ascii="Arial" w:hAnsi="Arial"/>
          <w:b/>
          <w:color w:val="76213D"/>
          <w:sz w:val="17"/>
        </w:rPr>
        <w:t xml:space="preserve">• </w:t>
      </w:r>
      <w:r>
        <w:rPr>
          <w:rFonts w:ascii="Arial" w:hAnsi="Arial"/>
          <w:b w:val="0"/>
          <w:color w:val="2D2D2D"/>
          <w:sz w:val="17"/>
        </w:rPr>
        <w:t>Documenting findings and referring substantiated issues for proportionate corrective, disciplinary, contractual, control or governance action as applicable.</w:t>
      </w:r>
    </w:p>
    <w:p>
      <w:pPr>
        <w:spacing w:before="100" w:after="40" w:line="240" w:lineRule="auto"/>
      </w:pPr>
      <w:r>
        <w:rPr>
          <w:rFonts w:ascii="Arial" w:hAnsi="Arial"/>
          <w:b/>
          <w:color w:val="76213D"/>
          <w:sz w:val="21"/>
        </w:rPr>
        <w:t>Oversight &amp; Protection</w:t>
      </w:r>
    </w:p>
    <w:p>
      <w:pPr>
        <w:spacing w:before="0" w:after="40" w:line="240" w:lineRule="auto"/>
      </w:pPr>
      <w:r>
        <w:rPr>
          <w:rFonts w:ascii="Arial" w:hAnsi="Arial"/>
          <w:b/>
          <w:color w:val="76213D"/>
          <w:sz w:val="16"/>
        </w:rPr>
        <w:t xml:space="preserve">Governance. </w:t>
      </w:r>
      <w:r>
        <w:rPr>
          <w:rFonts w:ascii="Arial" w:hAnsi="Arial"/>
          <w:b w:val="0"/>
          <w:color w:val="2D2D2D"/>
          <w:sz w:val="16"/>
        </w:rPr>
        <w:t>Serious or systemic integrity matters may be escalated for Board or Audit Committee oversight in accordance with Amaar’s governance arrangements. Reports of retaliation are handled with the same seriousness as the underlying allegation.</w:t>
      </w:r>
    </w:p>
    <w:p>
      <w:pPr>
        <w:spacing w:before="0" w:after="60" w:line="240" w:lineRule="auto"/>
      </w:pPr>
      <w:r>
        <w:rPr>
          <w:rFonts w:ascii="Arial" w:hAnsi="Arial"/>
          <w:b/>
          <w:color w:val="76213D"/>
          <w:sz w:val="16"/>
        </w:rPr>
        <w:t xml:space="preserve">Protection. </w:t>
      </w:r>
      <w:r>
        <w:rPr>
          <w:rFonts w:ascii="Arial" w:hAnsi="Arial"/>
          <w:b w:val="0"/>
          <w:color w:val="2D2D2D"/>
          <w:sz w:val="16"/>
        </w:rPr>
        <w:t>Whistleblowers and witnesses may report anonymously and request confidentiality. Retaliation for reporting or cooperating in good faith is prohibited.</w:t>
      </w:r>
    </w:p>
    <w:tbl>
      <w:tblPr>
        <w:tblW w:type="auto" w:w="0"/>
        <w:jc w:val="center"/>
        <w:tblLook w:firstColumn="1" w:firstRow="1" w:lastColumn="0" w:lastRow="0" w:noHBand="0" w:noVBand="1" w:val="04A0"/>
      </w:tblPr>
      <w:tblGrid>
        <w:gridCol w:w="10224"/>
      </w:tblGrid>
      <w:tr>
        <w:tc>
          <w:tcPr>
            <w:tcW w:type="dxa" w:w="10224"/>
            <w:shd w:fill="FAF8F9"/>
            <w:tcMar>
              <w:top w:w="75" w:type="dxa"/>
              <w:start w:w="90" w:type="dxa"/>
              <w:bottom w:w="75" w:type="dxa"/>
              <w:end w:w="90" w:type="dxa"/>
            </w:tcMar>
            <w:tcBorders>
              <w:top w:val="single" w:sz="7" w:color="76213D"/>
              <w:left w:val="single" w:sz="7" w:color="76213D"/>
              <w:bottom w:val="single" w:sz="7" w:color="76213D"/>
              <w:right w:val="single" w:sz="7" w:color="76213D"/>
            </w:tcBorders>
          </w:tcPr>
          <w:p>
            <w:pPr>
              <w:spacing w:before="0" w:after="20" w:line="240" w:lineRule="auto"/>
            </w:pPr>
            <w:r>
              <w:rPr>
                <w:rFonts w:ascii="Arial" w:hAnsi="Arial"/>
                <w:b/>
                <w:color w:val="76213D"/>
                <w:sz w:val="18"/>
              </w:rPr>
              <w:t>About this public description</w:t>
            </w:r>
          </w:p>
          <w:p>
            <w:pPr>
              <w:spacing w:before="0" w:after="20" w:line="240" w:lineRule="auto"/>
            </w:pPr>
            <w:r>
              <w:rPr>
                <w:rFonts w:ascii="Arial" w:hAnsi="Arial"/>
                <w:b w:val="0"/>
                <w:color w:val="2D2D2D"/>
                <w:sz w:val="17"/>
              </w:rPr>
              <w:t>This page describes Amaar Group’s investigation process at a public level. Detailed case-management methods, evidence handling, investigation records and internal controls remain restricted to protect confidentiality, fairness and the integrity of investigations.</w:t>
            </w:r>
          </w:p>
          <w:p>
            <w:pPr>
              <w:spacing w:before="0" w:after="0" w:line="240" w:lineRule="auto"/>
            </w:pPr>
            <w:r>
              <w:rPr>
                <w:rFonts w:ascii="Arial" w:hAnsi="Arial"/>
                <w:b w:val="0"/>
                <w:color w:val="2D2D2D"/>
                <w:sz w:val="17"/>
              </w:rPr>
              <w:t xml:space="preserve">To report suspected wrongdoing confidentially, please contact: </w:t>
            </w:r>
            <w:r>
              <w:rPr>
                <w:rFonts w:ascii="Arial" w:hAnsi="Arial"/>
                <w:b/>
                <w:color w:val="76213D"/>
                <w:sz w:val="17"/>
              </w:rPr>
              <w:t>integrity@amaar.ps</w:t>
            </w:r>
          </w:p>
        </w:tc>
      </w:tr>
    </w:tbl>
    <w:sectPr w:rsidR="00FC693F" w:rsidRPr="0006063C" w:rsidSect="00034616">
      <w:headerReference w:type="default" r:id="rId9"/>
      <w:footerReference w:type="default" r:id="rId10"/>
      <w:pgSz w:w="12240" w:h="15840"/>
      <w:pgMar w:top="792" w:right="1008" w:bottom="792" w:left="1008" w:header="317"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line="240" w:lineRule="auto"/>
      <w:jc w:val="center"/>
    </w:pPr>
    <w:r>
      <w:rPr>
        <w:rFonts w:ascii="Arial" w:hAnsi="Arial"/>
        <w:b w:val="0"/>
        <w:color w:val="666666"/>
        <w:sz w:val="14"/>
      </w:rPr>
      <w:t>Amaar Group | Investigation Function – Public Description</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before="0" w:after="0" w:line="240" w:lineRule="auto"/>
      <w:jc w:val="right"/>
    </w:pPr>
    <w:r>
      <w:rPr>
        <w:rFonts w:ascii="Arial" w:hAnsi="Arial"/>
        <w:b/>
        <w:color w:val="76213D"/>
        <w:sz w:val="16"/>
      </w:rPr>
      <w:t>AMAAR GROUP  |  SUSTAINABLE DEVELOPMENT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olor w:val="2D2D2D"/>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