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eastAsia="Arial"/>
          <w:b/>
          <w:i w:val="0"/>
          <w:color w:val="76213D"/>
          <w:sz w:val="20"/>
        </w:rPr>
        <w:t>AMAAR GROUP</w:t>
      </w:r>
    </w:p>
    <w:p>
      <w:pPr>
        <w:spacing w:after="20"/>
        <w:jc w:val="center"/>
      </w:pPr>
      <w:r>
        <w:rPr>
          <w:rFonts w:ascii="Arial" w:hAnsi="Arial" w:eastAsia="Arial"/>
          <w:b/>
          <w:i w:val="0"/>
          <w:color w:val="2D2D2D"/>
          <w:sz w:val="32"/>
        </w:rPr>
        <w:t>ENVIRONMENTAL &amp; SOCIAL POLICY</w:t>
      </w:r>
    </w:p>
    <w:p>
      <w:pPr>
        <w:spacing w:after="120"/>
        <w:jc w:val="center"/>
      </w:pPr>
      <w:r>
        <w:rPr>
          <w:rFonts w:ascii="Arial" w:hAnsi="Arial" w:eastAsia="Arial"/>
          <w:b/>
          <w:i w:val="0"/>
          <w:color w:val="76213D"/>
          <w:sz w:val="19"/>
        </w:rPr>
        <w:t>PUBLIC SUMMARY</w:t>
      </w:r>
    </w:p>
    <w:tbl>
      <w:tblPr>
        <w:tblW w:type="auto" w:w="0"/>
        <w:jc w:val="center"/>
        <w:tblLook w:firstColumn="1" w:firstRow="1" w:lastColumn="0" w:lastRow="0" w:noHBand="0" w:noVBand="1" w:val="04A0"/>
      </w:tblPr>
      <w:tblGrid>
        <w:gridCol w:w="10224"/>
      </w:tblGrid>
      <w:tr>
        <w:tc>
          <w:tcPr>
            <w:tcW w:type="dxa" w:w="10224"/>
            <w:shd w:fill="F5F1F3"/>
            <w:tcBorders>
              <w:top w:val="single" w:sz="7" w:color="76213D"/>
              <w:left w:val="single" w:sz="7" w:color="76213D"/>
              <w:bottom w:val="single" w:sz="7" w:color="76213D"/>
              <w:right w:val="single" w:sz="7" w:color="76213D"/>
            </w:tcBorders>
            <w:tcMar>
              <w:top w:w="90" w:type="dxa"/>
              <w:bottom w:w="90" w:type="dxa"/>
              <w:start w:w="110" w:type="dxa"/>
              <w:end w:w="110" w:type="dxa"/>
            </w:tcMar>
          </w:tcPr>
          <w:p>
            <w:pPr>
              <w:spacing w:after="0"/>
            </w:pPr>
            <w:r>
              <w:rPr>
                <w:rFonts w:ascii="Arial" w:hAnsi="Arial" w:eastAsia="Arial"/>
                <w:b/>
                <w:i w:val="0"/>
                <w:color w:val="76213D"/>
                <w:sz w:val="19"/>
              </w:rPr>
              <w:t xml:space="preserve">Our commitment. </w:t>
            </w:r>
            <w:r>
              <w:rPr>
                <w:rFonts w:ascii="Arial" w:hAnsi="Arial" w:eastAsia="Arial"/>
                <w:b w:val="0"/>
                <w:i w:val="0"/>
                <w:color w:val="2D2D2D"/>
                <w:sz w:val="19"/>
              </w:rPr>
              <w:t>Amaar Group is committed to developing and implementing GCF-funded projects and programmes in an environmentally sustainable, socially responsible, inclusive and climate-resilient manner. Environmental and social considerations are integrated from project concept through implementation, monitoring and closure.</w:t>
            </w:r>
          </w:p>
        </w:tc>
      </w:tr>
    </w:tbl>
    <w:p>
      <w:pPr>
        <w:spacing w:before="100" w:after="40"/>
      </w:pPr>
      <w:r>
        <w:rPr>
          <w:rFonts w:ascii="Arial" w:hAnsi="Arial" w:eastAsia="Arial"/>
          <w:b/>
          <w:i w:val="0"/>
          <w:color w:val="76213D"/>
          <w:sz w:val="21"/>
        </w:rPr>
        <w:t>What the Policy Means in Practice</w:t>
      </w:r>
    </w:p>
    <w:p>
      <w:pPr>
        <w:spacing w:after="24" w:line="240" w:lineRule="auto"/>
        <w:ind w:left="245" w:hanging="173"/>
      </w:pPr>
      <w:r>
        <w:rPr>
          <w:rFonts w:ascii="Arial" w:hAnsi="Arial" w:eastAsia="Arial"/>
          <w:b/>
          <w:i w:val="0"/>
          <w:color w:val="76213D"/>
          <w:sz w:val="18"/>
        </w:rPr>
        <w:t xml:space="preserve">• </w:t>
      </w:r>
      <w:r>
        <w:rPr>
          <w:rFonts w:ascii="Arial" w:hAnsi="Arial" w:eastAsia="Arial"/>
          <w:b w:val="0"/>
          <w:i w:val="0"/>
          <w:color w:val="2D2D2D"/>
          <w:sz w:val="18"/>
        </w:rPr>
        <w:t>Every GCF-funded activity is screened and assessed for environmental and social risks before approval, with management measures proportionate to the nature and level of risk.</w:t>
      </w:r>
    </w:p>
    <w:p>
      <w:pPr>
        <w:spacing w:after="24" w:line="240" w:lineRule="auto"/>
        <w:ind w:left="245" w:hanging="173"/>
      </w:pPr>
      <w:r>
        <w:rPr>
          <w:rFonts w:ascii="Arial" w:hAnsi="Arial" w:eastAsia="Arial"/>
          <w:b/>
          <w:i w:val="0"/>
          <w:color w:val="76213D"/>
          <w:sz w:val="18"/>
        </w:rPr>
        <w:t xml:space="preserve">• </w:t>
      </w:r>
      <w:r>
        <w:rPr>
          <w:rFonts w:ascii="Arial" w:hAnsi="Arial" w:eastAsia="Arial"/>
          <w:b w:val="0"/>
          <w:i w:val="0"/>
          <w:color w:val="2D2D2D"/>
          <w:sz w:val="18"/>
        </w:rPr>
        <w:t>Amaar applies the mitigation hierarchy: avoid adverse impacts where possible, then minimize, restore or rehabilitate, and address significant residual impacts where required.</w:t>
      </w:r>
    </w:p>
    <w:p>
      <w:pPr>
        <w:spacing w:after="24" w:line="240" w:lineRule="auto"/>
        <w:ind w:left="245" w:hanging="173"/>
      </w:pPr>
      <w:r>
        <w:rPr>
          <w:rFonts w:ascii="Arial" w:hAnsi="Arial" w:eastAsia="Arial"/>
          <w:b/>
          <w:i w:val="0"/>
          <w:color w:val="76213D"/>
          <w:sz w:val="18"/>
        </w:rPr>
        <w:t xml:space="preserve">• </w:t>
      </w:r>
      <w:r>
        <w:rPr>
          <w:rFonts w:ascii="Arial" w:hAnsi="Arial" w:eastAsia="Arial"/>
          <w:b w:val="0"/>
          <w:i w:val="0"/>
          <w:color w:val="2D2D2D"/>
          <w:sz w:val="18"/>
        </w:rPr>
        <w:t>Environmental and social requirements are integrated into project design, appraisal, procurement, contracts, implementation and monitoring, including requirements for contractors, executing entities and other relevant partners.</w:t>
      </w:r>
    </w:p>
    <w:p>
      <w:pPr>
        <w:spacing w:after="24" w:line="240" w:lineRule="auto"/>
        <w:ind w:left="245" w:hanging="173"/>
      </w:pPr>
      <w:r>
        <w:rPr>
          <w:rFonts w:ascii="Arial" w:hAnsi="Arial" w:eastAsia="Arial"/>
          <w:b/>
          <w:i w:val="0"/>
          <w:color w:val="76213D"/>
          <w:sz w:val="18"/>
        </w:rPr>
        <w:t xml:space="preserve">• </w:t>
      </w:r>
      <w:r>
        <w:rPr>
          <w:rFonts w:ascii="Arial" w:hAnsi="Arial" w:eastAsia="Arial"/>
          <w:b w:val="0"/>
          <w:i w:val="0"/>
          <w:color w:val="2D2D2D"/>
          <w:sz w:val="18"/>
        </w:rPr>
        <w:t>Amaar monitors E&amp;S performance, requires corrective action where needed, and escalates serious incidents or material non-compliance through its governance arrangements.</w:t>
      </w:r>
    </w:p>
    <w:p>
      <w:pPr>
        <w:spacing w:before="100" w:after="40"/>
      </w:pPr>
      <w:r>
        <w:rPr>
          <w:rFonts w:ascii="Arial" w:hAnsi="Arial" w:eastAsia="Arial"/>
          <w:b/>
          <w:i w:val="0"/>
          <w:color w:val="76213D"/>
          <w:sz w:val="21"/>
        </w:rPr>
        <w:t>Core Environmental &amp; Social Commitments</w:t>
      </w:r>
    </w:p>
    <w:tbl>
      <w:tblPr>
        <w:tblW w:type="auto" w:w="0"/>
        <w:jc w:val="center"/>
        <w:tblLook w:firstColumn="1" w:firstRow="1" w:lastColumn="0" w:lastRow="0" w:noHBand="0" w:noVBand="1" w:val="04A0"/>
      </w:tblPr>
      <w:tblGrid>
        <w:gridCol w:w="5112"/>
        <w:gridCol w:w="5112"/>
      </w:tblGrid>
      <w:tr>
        <w:tc>
          <w:tcPr>
            <w:tcW w:type="dxa" w:w="5112"/>
            <w:tcBorders>
              <w:top w:val="single" w:sz="5" w:color="D9D9D9"/>
              <w:left w:val="single" w:sz="5" w:color="D9D9D9"/>
              <w:bottom w:val="single" w:sz="5" w:color="D9D9D9"/>
              <w:right w:val="single" w:sz="5" w:color="D9D9D9"/>
            </w:tcBorders>
            <w:tcMar>
              <w:top w:w="70" w:type="dxa"/>
              <w:bottom w:w="70" w:type="dxa"/>
              <w:start w:w="80" w:type="dxa"/>
              <w:end w:w="80" w:type="dxa"/>
            </w:tcMar>
            <w:vAlign w:val="center"/>
          </w:tcPr>
          <w:p>
            <w:pPr>
              <w:spacing w:after="20"/>
            </w:pPr>
            <w:r>
              <w:rPr>
                <w:rFonts w:ascii="Arial" w:hAnsi="Arial" w:eastAsia="Arial"/>
                <w:b/>
                <w:i w:val="0"/>
                <w:color w:val="76213D"/>
                <w:sz w:val="18"/>
              </w:rPr>
              <w:t>People &amp; Work</w:t>
            </w:r>
          </w:p>
          <w:p>
            <w:pPr>
              <w:spacing w:after="0"/>
            </w:pPr>
            <w:r>
              <w:rPr>
                <w:rFonts w:ascii="Arial" w:hAnsi="Arial" w:eastAsia="Arial"/>
                <w:b w:val="0"/>
                <w:i w:val="0"/>
                <w:color w:val="2D2D2D"/>
                <w:sz w:val="16"/>
              </w:rPr>
              <w:t>Fair and safe working conditions; occupational health and safety; non-discrimination; prohibition of child and forced labour; and access to appropriate worker grievance channels.</w:t>
            </w:r>
          </w:p>
        </w:tc>
        <w:tc>
          <w:tcPr>
            <w:tcW w:type="dxa" w:w="5112"/>
            <w:tcBorders>
              <w:top w:val="single" w:sz="5" w:color="D9D9D9"/>
              <w:left w:val="single" w:sz="5" w:color="D9D9D9"/>
              <w:bottom w:val="single" w:sz="5" w:color="D9D9D9"/>
              <w:right w:val="single" w:sz="5" w:color="D9D9D9"/>
            </w:tcBorders>
            <w:tcMar>
              <w:top w:w="70" w:type="dxa"/>
              <w:bottom w:w="70" w:type="dxa"/>
              <w:start w:w="80" w:type="dxa"/>
              <w:end w:w="80" w:type="dxa"/>
            </w:tcMar>
            <w:vAlign w:val="center"/>
          </w:tcPr>
          <w:p>
            <w:pPr>
              <w:spacing w:after="20"/>
            </w:pPr>
            <w:r>
              <w:rPr>
                <w:rFonts w:ascii="Arial" w:hAnsi="Arial" w:eastAsia="Arial"/>
                <w:b/>
                <w:i w:val="0"/>
                <w:color w:val="76213D"/>
                <w:sz w:val="18"/>
              </w:rPr>
              <w:t>Environment &amp; Climate</w:t>
            </w:r>
          </w:p>
          <w:p>
            <w:pPr>
              <w:spacing w:after="0"/>
            </w:pPr>
            <w:r>
              <w:rPr>
                <w:rFonts w:ascii="Arial" w:hAnsi="Arial" w:eastAsia="Arial"/>
                <w:b w:val="0"/>
                <w:i w:val="0"/>
                <w:color w:val="2D2D2D"/>
                <w:sz w:val="16"/>
              </w:rPr>
              <w:t>Resource efficiency, pollution prevention, responsible management of waste and emissions, biodiversity protection, climate resilience and consideration of physical climate risks.</w:t>
            </w:r>
          </w:p>
        </w:tc>
      </w:tr>
      <w:tr>
        <w:tc>
          <w:tcPr>
            <w:tcW w:type="dxa" w:w="5112"/>
            <w:tcBorders>
              <w:top w:val="single" w:sz="5" w:color="D9D9D9"/>
              <w:left w:val="single" w:sz="5" w:color="D9D9D9"/>
              <w:bottom w:val="single" w:sz="5" w:color="D9D9D9"/>
              <w:right w:val="single" w:sz="5" w:color="D9D9D9"/>
            </w:tcBorders>
            <w:tcMar>
              <w:top w:w="70" w:type="dxa"/>
              <w:bottom w:w="70" w:type="dxa"/>
              <w:start w:w="80" w:type="dxa"/>
              <w:end w:w="80" w:type="dxa"/>
            </w:tcMar>
            <w:vAlign w:val="center"/>
          </w:tcPr>
          <w:p>
            <w:pPr>
              <w:spacing w:after="20"/>
            </w:pPr>
            <w:r>
              <w:rPr>
                <w:rFonts w:ascii="Arial" w:hAnsi="Arial" w:eastAsia="Arial"/>
                <w:b/>
                <w:i w:val="0"/>
                <w:color w:val="76213D"/>
                <w:sz w:val="18"/>
              </w:rPr>
              <w:t>Communities &amp; Rights</w:t>
            </w:r>
          </w:p>
          <w:p>
            <w:pPr>
              <w:spacing w:after="0"/>
            </w:pPr>
            <w:r>
              <w:rPr>
                <w:rFonts w:ascii="Arial" w:hAnsi="Arial" w:eastAsia="Arial"/>
                <w:b w:val="0"/>
                <w:i w:val="0"/>
                <w:color w:val="2D2D2D"/>
                <w:sz w:val="16"/>
              </w:rPr>
              <w:t>Community health and safety, avoidance and management of displacement impacts, protection of cultural heritage, and appropriate safeguards where Indigenous Peoples requirements apply.</w:t>
            </w:r>
          </w:p>
        </w:tc>
        <w:tc>
          <w:tcPr>
            <w:tcW w:type="dxa" w:w="5112"/>
            <w:tcBorders>
              <w:top w:val="single" w:sz="5" w:color="D9D9D9"/>
              <w:left w:val="single" w:sz="5" w:color="D9D9D9"/>
              <w:bottom w:val="single" w:sz="5" w:color="D9D9D9"/>
              <w:right w:val="single" w:sz="5" w:color="D9D9D9"/>
            </w:tcBorders>
            <w:tcMar>
              <w:top w:w="70" w:type="dxa"/>
              <w:bottom w:w="70" w:type="dxa"/>
              <w:start w:w="80" w:type="dxa"/>
              <w:end w:w="80" w:type="dxa"/>
            </w:tcMar>
            <w:vAlign w:val="center"/>
          </w:tcPr>
          <w:p>
            <w:pPr>
              <w:spacing w:after="20"/>
            </w:pPr>
            <w:r>
              <w:rPr>
                <w:rFonts w:ascii="Arial" w:hAnsi="Arial" w:eastAsia="Arial"/>
                <w:b/>
                <w:i w:val="0"/>
                <w:color w:val="76213D"/>
                <w:sz w:val="18"/>
              </w:rPr>
              <w:t>Participation &amp; Protection</w:t>
            </w:r>
          </w:p>
          <w:p>
            <w:pPr>
              <w:spacing w:after="0"/>
            </w:pPr>
            <w:r>
              <w:rPr>
                <w:rFonts w:ascii="Arial" w:hAnsi="Arial" w:eastAsia="Arial"/>
                <w:b w:val="0"/>
                <w:i w:val="0"/>
                <w:color w:val="2D2D2D"/>
                <w:sz w:val="16"/>
              </w:rPr>
              <w:t>Meaningful stakeholder engagement, accessible information, independent grievance redress, gender responsiveness, protection of vulnerable groups, non-retaliation and zero tolerance for SEAH.</w:t>
            </w:r>
          </w:p>
        </w:tc>
      </w:tr>
    </w:tbl>
    <w:p>
      <w:pPr>
        <w:spacing w:before="100" w:after="40"/>
      </w:pPr>
      <w:r>
        <w:rPr>
          <w:rFonts w:ascii="Arial" w:hAnsi="Arial" w:eastAsia="Arial"/>
          <w:b/>
          <w:i w:val="0"/>
          <w:color w:val="76213D"/>
          <w:sz w:val="21"/>
        </w:rPr>
        <w:t>Standards &amp; Accountability</w:t>
      </w:r>
    </w:p>
    <w:p>
      <w:pPr>
        <w:spacing w:after="40" w:line="240" w:lineRule="auto"/>
      </w:pPr>
      <w:r>
        <w:rPr>
          <w:rFonts w:ascii="Arial" w:hAnsi="Arial" w:eastAsia="Arial"/>
          <w:b/>
          <w:i w:val="0"/>
          <w:color w:val="2D2D2D"/>
          <w:sz w:val="17"/>
        </w:rPr>
        <w:t xml:space="preserve">For GCF-funded activities, </w:t>
      </w:r>
      <w:r>
        <w:rPr>
          <w:rFonts w:ascii="Arial" w:hAnsi="Arial" w:eastAsia="Arial"/>
          <w:b w:val="0"/>
          <w:i w:val="0"/>
          <w:color w:val="2D2D2D"/>
          <w:sz w:val="17"/>
        </w:rPr>
        <w:t>Amaar applies applicable Palestinian environmental and social laws and requirements, the GCF Revised Environmental and Social Policy and Interim Environmental and Social Safeguards based on IFC Performance Standards 1–8, together with applicable GCF requirements on gender, Indigenous Peoples, information disclosure, stakeholder engagement, grievance redress and SEAH. Relevant Good International Industry Practice and Environmental, Health and Safety Guidelines are also applied.</w:t>
      </w:r>
    </w:p>
    <w:p>
      <w:pPr>
        <w:spacing w:after="40" w:line="240" w:lineRule="auto"/>
      </w:pPr>
      <w:r>
        <w:rPr>
          <w:rFonts w:ascii="Arial" w:hAnsi="Arial" w:eastAsia="Arial"/>
          <w:b/>
          <w:i w:val="0"/>
          <w:color w:val="76213D"/>
          <w:sz w:val="17"/>
        </w:rPr>
        <w:t xml:space="preserve">Governance. </w:t>
      </w:r>
      <w:r>
        <w:rPr>
          <w:rFonts w:ascii="Arial" w:hAnsi="Arial" w:eastAsia="Arial"/>
          <w:b w:val="0"/>
          <w:i w:val="0"/>
          <w:color w:val="2D2D2D"/>
          <w:sz w:val="17"/>
        </w:rPr>
        <w:t>The Board of Directors provides oversight of material E&amp;S risks; the CEO is accountable for implementation; and the designated E&amp;S Focal Point coordinates screening, due diligence, monitoring, stakeholder engagement, reporting and E&amp;S records, supported by project teams and qualified specialists as required.</w:t>
      </w:r>
    </w:p>
    <w:p>
      <w:pPr>
        <w:spacing w:before="100" w:after="40"/>
      </w:pPr>
      <w:r>
        <w:rPr>
          <w:rFonts w:ascii="Arial" w:hAnsi="Arial" w:eastAsia="Arial"/>
          <w:b/>
          <w:i w:val="0"/>
          <w:color w:val="76213D"/>
          <w:sz w:val="21"/>
        </w:rPr>
        <w:t>How the Policy Is Implemented</w:t>
      </w:r>
    </w:p>
    <w:p>
      <w:pPr>
        <w:spacing w:after="60" w:line="240" w:lineRule="auto"/>
      </w:pPr>
      <w:r>
        <w:rPr>
          <w:rFonts w:ascii="Arial" w:hAnsi="Arial" w:eastAsia="Arial"/>
          <w:b/>
          <w:i w:val="0"/>
          <w:color w:val="2D2D2D"/>
          <w:sz w:val="17"/>
        </w:rPr>
        <w:t xml:space="preserve">The E&amp;S Policy is the foundation of Amaar Group’s Environmental and Social Management System (ESMS). </w:t>
      </w:r>
      <w:r>
        <w:rPr>
          <w:rFonts w:ascii="Arial" w:hAnsi="Arial" w:eastAsia="Arial"/>
          <w:b w:val="0"/>
          <w:i w:val="0"/>
          <w:color w:val="2D2D2D"/>
          <w:sz w:val="17"/>
        </w:rPr>
        <w:t>The ESMS Manual translates the Policy into detailed procedures and tools for screening and categorization, due diligence, management measures, stakeholder engagement and disclosure, grievance redress, monitoring, incident management, downstream-partner oversight and corrective action. Supporting procedures address stakeholder engagement, grievance redress, gender, Indigenous Peoples and prevention and response to Sexual Exploitation, Abuse and Harassment (SEAH).</w:t>
      </w:r>
    </w:p>
    <w:tbl>
      <w:tblPr>
        <w:tblW w:type="auto" w:w="0"/>
        <w:jc w:val="center"/>
        <w:tblLook w:firstColumn="1" w:firstRow="1" w:lastColumn="0" w:lastRow="0" w:noHBand="0" w:noVBand="1" w:val="04A0"/>
      </w:tblPr>
      <w:tblGrid>
        <w:gridCol w:w="10224"/>
      </w:tblGrid>
      <w:tr>
        <w:tc>
          <w:tcPr>
            <w:tcW w:type="dxa" w:w="10224"/>
            <w:shd w:fill="FAF8F9"/>
            <w:tcBorders>
              <w:top w:val="single" w:sz="5" w:color="76213D"/>
              <w:left w:val="single" w:sz="5" w:color="76213D"/>
              <w:bottom w:val="single" w:sz="5" w:color="76213D"/>
              <w:right w:val="single" w:sz="5" w:color="76213D"/>
            </w:tcBorders>
            <w:tcMar>
              <w:top w:w="75" w:type="dxa"/>
              <w:bottom w:w="75" w:type="dxa"/>
              <w:start w:w="95" w:type="dxa"/>
              <w:end w:w="95" w:type="dxa"/>
            </w:tcMar>
          </w:tcPr>
          <w:p>
            <w:pPr>
              <w:spacing w:after="20"/>
            </w:pPr>
            <w:r>
              <w:rPr>
                <w:rFonts w:ascii="Arial" w:hAnsi="Arial" w:eastAsia="Arial"/>
                <w:b/>
                <w:i w:val="0"/>
                <w:color w:val="76213D"/>
                <w:sz w:val="18"/>
              </w:rPr>
              <w:t>About this summary</w:t>
            </w:r>
          </w:p>
          <w:p>
            <w:pPr>
              <w:spacing w:after="20"/>
            </w:pPr>
            <w:r>
              <w:rPr>
                <w:rFonts w:ascii="Arial" w:hAnsi="Arial" w:eastAsia="Arial"/>
                <w:b w:val="0"/>
                <w:i w:val="0"/>
                <w:color w:val="2D2D2D"/>
                <w:sz w:val="17"/>
              </w:rPr>
              <w:t>This document is a public summary of the Amaar Group Environmental and Social Policy for GCF-funded projects and programmes. The approved Policy and its supporting ESMS Manual contain the complete institutional requirements and implementation arrangements.</w:t>
            </w:r>
          </w:p>
          <w:p>
            <w:pPr>
              <w:spacing w:after="0"/>
            </w:pPr>
            <w:r>
              <w:rPr>
                <w:rFonts w:ascii="Arial" w:hAnsi="Arial" w:eastAsia="Arial"/>
                <w:b w:val="0"/>
                <w:i w:val="0"/>
                <w:color w:val="2D2D2D"/>
                <w:sz w:val="17"/>
              </w:rPr>
              <w:t xml:space="preserve">For further information or to request the full E&amp;S Policy / ESMS documentation, please contact: </w:t>
            </w:r>
            <w:r>
              <w:rPr>
                <w:rFonts w:ascii="Arial" w:hAnsi="Arial" w:eastAsia="Arial"/>
                <w:b/>
                <w:i w:val="0"/>
                <w:color w:val="76213D"/>
                <w:sz w:val="17"/>
              </w:rPr>
              <w:t>sustainability@amaar.ps</w:t>
            </w:r>
          </w:p>
        </w:tc>
      </w:tr>
    </w:tbl>
    <w:sectPr w:rsidR="00FC693F" w:rsidRPr="0006063C" w:rsidSect="00034616">
      <w:headerReference w:type="default" r:id="rId9"/>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666666"/>
        <w:sz w:val="14"/>
      </w:rPr>
      <w:t>Amaar Group | Environmental &amp; Social Policy – Public Summary | GCF-funded projects and programmes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i w:val="0"/>
        <w:color w:val="76213D"/>
        <w:sz w:val="16"/>
      </w:rPr>
      <w:t>AMAAR GROUP  |  SUSTAINABLE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